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4265"/>
      </w:tblGrid>
      <w:tr w:rsidR="00C954BD" w14:paraId="2F3FBDCC" w14:textId="77777777">
        <w:trPr>
          <w:trHeight w:val="446"/>
        </w:trPr>
        <w:tc>
          <w:tcPr>
            <w:tcW w:w="2235" w:type="dxa"/>
          </w:tcPr>
          <w:p w14:paraId="62F45030" w14:textId="77777777" w:rsidR="00C954BD" w:rsidRDefault="006855EC">
            <w:pPr>
              <w:pStyle w:val="TableParagraph"/>
              <w:spacing w:before="14" w:line="412" w:lineRule="exact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00856F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856F"/>
              </w:rPr>
              <w:t xml:space="preserve">LEA </w:t>
            </w:r>
            <w:r>
              <w:rPr>
                <w:b/>
                <w:color w:val="FFFFFF"/>
                <w:spacing w:val="-8"/>
                <w:sz w:val="36"/>
                <w:shd w:val="clear" w:color="auto" w:fill="00856F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val="clear" w:color="auto" w:fill="00856F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00856F"/>
              </w:rPr>
              <w:t>2.2</w:t>
            </w:r>
            <w:r>
              <w:rPr>
                <w:b/>
                <w:color w:val="FFFFFF"/>
                <w:spacing w:val="4"/>
                <w:sz w:val="36"/>
                <w:shd w:val="clear" w:color="auto" w:fill="00856F"/>
              </w:rPr>
              <w:t xml:space="preserve"> </w:t>
            </w:r>
          </w:p>
        </w:tc>
        <w:tc>
          <w:tcPr>
            <w:tcW w:w="4265" w:type="dxa"/>
          </w:tcPr>
          <w:p w14:paraId="51B531AE" w14:textId="77777777" w:rsidR="00C954BD" w:rsidRDefault="006855EC">
            <w:pPr>
              <w:pStyle w:val="TableParagraph"/>
              <w:spacing w:before="14" w:line="412" w:lineRule="exact"/>
              <w:ind w:left="115"/>
              <w:rPr>
                <w:b/>
                <w:sz w:val="36"/>
              </w:rPr>
            </w:pPr>
            <w:r>
              <w:rPr>
                <w:b/>
                <w:color w:val="00856F"/>
                <w:sz w:val="36"/>
              </w:rPr>
              <w:t>Setting strategy priorities</w:t>
            </w:r>
          </w:p>
        </w:tc>
      </w:tr>
    </w:tbl>
    <w:p w14:paraId="3B610FEE" w14:textId="77777777" w:rsidR="00C954BD" w:rsidRDefault="00C954BD">
      <w:pPr>
        <w:pStyle w:val="BodyText"/>
        <w:rPr>
          <w:rFonts w:ascii="Times New Roman"/>
          <w:sz w:val="20"/>
        </w:rPr>
      </w:pPr>
    </w:p>
    <w:p w14:paraId="15ACE89E" w14:textId="77777777" w:rsidR="00C954BD" w:rsidRDefault="00C954BD">
      <w:pPr>
        <w:pStyle w:val="BodyText"/>
        <w:spacing w:before="6"/>
        <w:rPr>
          <w:rFonts w:ascii="Times New Roman"/>
          <w:sz w:val="26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C954BD" w14:paraId="4CBAAB37" w14:textId="77777777">
        <w:trPr>
          <w:trHeight w:val="4115"/>
        </w:trPr>
        <w:tc>
          <w:tcPr>
            <w:tcW w:w="2150" w:type="dxa"/>
            <w:shd w:val="clear" w:color="auto" w:fill="EBF3F1"/>
          </w:tcPr>
          <w:p w14:paraId="2564AFFF" w14:textId="77777777" w:rsidR="00C954BD" w:rsidRDefault="006855EC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22C07EC3" w14:textId="46C808BD" w:rsidR="00C954BD" w:rsidRDefault="006855EC">
            <w:pPr>
              <w:pStyle w:val="TableParagraph"/>
              <w:spacing w:before="71" w:line="254" w:lineRule="auto"/>
              <w:ind w:left="80" w:right="81"/>
            </w:pPr>
            <w:r>
              <w:rPr>
                <w:color w:val="231F20"/>
              </w:rPr>
              <w:t xml:space="preserve">Using the data that you have collected and analyzed in Tool </w:t>
            </w:r>
            <w:r w:rsidR="00B51211">
              <w:rPr>
                <w:color w:val="231F20"/>
              </w:rPr>
              <w:t>2.1</w:t>
            </w:r>
            <w:r>
              <w:rPr>
                <w:color w:val="231F20"/>
              </w:rPr>
              <w:t>, prioritize specific strategies you will fund and implement. Please note, these strategies should be designed for closing a performance gap or easing a challenge.</w:t>
            </w:r>
          </w:p>
          <w:p w14:paraId="4DCBD05C" w14:textId="77777777" w:rsidR="00C954BD" w:rsidRDefault="006855EC">
            <w:pPr>
              <w:pStyle w:val="TableParagraph"/>
              <w:ind w:left="80"/>
            </w:pPr>
            <w:r>
              <w:rPr>
                <w:color w:val="231F20"/>
              </w:rPr>
              <w:t>Please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consider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following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before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completing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chart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below:</w:t>
            </w:r>
          </w:p>
          <w:p w14:paraId="1F054B3E" w14:textId="77777777" w:rsidR="00C954BD" w:rsidRDefault="006855E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6"/>
            </w:pPr>
            <w:r>
              <w:rPr>
                <w:color w:val="231F20"/>
              </w:rPr>
              <w:t>What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challenge/performance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gap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painful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visible?</w:t>
            </w:r>
          </w:p>
          <w:p w14:paraId="292439A1" w14:textId="77777777" w:rsidR="00C954BD" w:rsidRDefault="006855E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6"/>
            </w:pPr>
            <w:r>
              <w:rPr>
                <w:color w:val="231F20"/>
              </w:rPr>
              <w:t>What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alignment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between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challenge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your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vision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"/>
              </w:rPr>
              <w:t xml:space="preserve"> goals?</w:t>
            </w:r>
          </w:p>
          <w:p w14:paraId="6DC3A07D" w14:textId="77777777" w:rsidR="00C954BD" w:rsidRDefault="006855E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6"/>
            </w:pPr>
            <w:r>
              <w:rPr>
                <w:color w:val="231F20"/>
              </w:rPr>
              <w:t>What do you want to be different in 3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>years?</w:t>
            </w:r>
          </w:p>
          <w:p w14:paraId="04F0D4CC" w14:textId="77777777" w:rsidR="00C954BD" w:rsidRDefault="006855E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6"/>
            </w:pPr>
            <w:r>
              <w:rPr>
                <w:color w:val="231F20"/>
              </w:rPr>
              <w:t>How will the strategies you select impact students?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Educators?</w:t>
            </w:r>
          </w:p>
          <w:p w14:paraId="2620537A" w14:textId="77777777" w:rsidR="00C954BD" w:rsidRDefault="006855E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76" w:line="254" w:lineRule="auto"/>
              <w:ind w:right="347"/>
            </w:pPr>
            <w:r>
              <w:rPr>
                <w:color w:val="231F20"/>
              </w:rPr>
              <w:t>In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addition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Title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IIA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funds,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what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resources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have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available to address these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needs?</w:t>
            </w:r>
          </w:p>
          <w:p w14:paraId="412F4018" w14:textId="13DA027C" w:rsidR="00C954BD" w:rsidRDefault="006855EC">
            <w:pPr>
              <w:pStyle w:val="TableParagraph"/>
              <w:spacing w:before="60" w:line="254" w:lineRule="auto"/>
              <w:ind w:left="100" w:right="285"/>
            </w:pPr>
            <w:r>
              <w:rPr>
                <w:color w:val="231F20"/>
              </w:rPr>
              <w:t>Complete the chart by inserting your key elements, components, or full sentences from the tool that you completed in LEA Tool 2.1. Fill out the remainder of the chart.</w:t>
            </w:r>
          </w:p>
        </w:tc>
      </w:tr>
      <w:tr w:rsidR="00C954BD" w14:paraId="4DF8BC85" w14:textId="77777777">
        <w:trPr>
          <w:trHeight w:val="395"/>
        </w:trPr>
        <w:tc>
          <w:tcPr>
            <w:tcW w:w="2150" w:type="dxa"/>
            <w:shd w:val="clear" w:color="auto" w:fill="EBF3F1"/>
          </w:tcPr>
          <w:p w14:paraId="3047364C" w14:textId="77777777" w:rsidR="00C954BD" w:rsidRDefault="006855EC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Materials required</w:t>
            </w:r>
          </w:p>
        </w:tc>
        <w:tc>
          <w:tcPr>
            <w:tcW w:w="7190" w:type="dxa"/>
          </w:tcPr>
          <w:p w14:paraId="36FAC8DE" w14:textId="77777777" w:rsidR="00C954BD" w:rsidRDefault="006855EC">
            <w:pPr>
              <w:pStyle w:val="TableParagraph"/>
              <w:spacing w:before="71"/>
              <w:ind w:left="80"/>
            </w:pPr>
            <w:r>
              <w:rPr>
                <w:color w:val="231F20"/>
              </w:rPr>
              <w:t>Outcomes of LEA Tool 2.1</w:t>
            </w:r>
          </w:p>
        </w:tc>
      </w:tr>
      <w:tr w:rsidR="00C954BD" w14:paraId="757C1912" w14:textId="77777777">
        <w:trPr>
          <w:trHeight w:val="395"/>
        </w:trPr>
        <w:tc>
          <w:tcPr>
            <w:tcW w:w="2150" w:type="dxa"/>
            <w:shd w:val="clear" w:color="auto" w:fill="EBF3F1"/>
          </w:tcPr>
          <w:p w14:paraId="5A652C48" w14:textId="77777777" w:rsidR="00C954BD" w:rsidRDefault="006855EC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Time</w:t>
            </w:r>
          </w:p>
        </w:tc>
        <w:tc>
          <w:tcPr>
            <w:tcW w:w="7190" w:type="dxa"/>
          </w:tcPr>
          <w:p w14:paraId="7660AA8F" w14:textId="77777777" w:rsidR="00C954BD" w:rsidRDefault="006855EC">
            <w:pPr>
              <w:pStyle w:val="TableParagraph"/>
              <w:spacing w:before="71"/>
              <w:ind w:left="80"/>
            </w:pPr>
            <w:r>
              <w:rPr>
                <w:color w:val="231F20"/>
              </w:rPr>
              <w:t>90 minutes</w:t>
            </w:r>
          </w:p>
        </w:tc>
      </w:tr>
    </w:tbl>
    <w:p w14:paraId="34DAC1C0" w14:textId="77777777" w:rsidR="00C954BD" w:rsidRDefault="00C954BD">
      <w:pPr>
        <w:sectPr w:rsidR="00C954BD">
          <w:headerReference w:type="default" r:id="rId7"/>
          <w:footerReference w:type="default" r:id="rId8"/>
          <w:type w:val="continuous"/>
          <w:pgSz w:w="12240" w:h="15840"/>
          <w:pgMar w:top="1420" w:right="1340" w:bottom="1720" w:left="1220" w:header="684" w:footer="1530" w:gutter="0"/>
          <w:pgNumType w:start="1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C954BD" w14:paraId="65409003" w14:textId="77777777">
        <w:trPr>
          <w:trHeight w:val="1495"/>
        </w:trPr>
        <w:tc>
          <w:tcPr>
            <w:tcW w:w="1557" w:type="dxa"/>
            <w:shd w:val="clear" w:color="auto" w:fill="DBEBE7"/>
          </w:tcPr>
          <w:p w14:paraId="4747A01E" w14:textId="77777777" w:rsidR="00C954BD" w:rsidRDefault="006855EC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lastRenderedPageBreak/>
              <w:t>Strategy</w:t>
            </w:r>
          </w:p>
        </w:tc>
        <w:tc>
          <w:tcPr>
            <w:tcW w:w="1557" w:type="dxa"/>
            <w:shd w:val="clear" w:color="auto" w:fill="DBEBE7"/>
          </w:tcPr>
          <w:p w14:paraId="21D66FAC" w14:textId="77777777" w:rsidR="00C954BD" w:rsidRDefault="006855EC">
            <w:pPr>
              <w:pStyle w:val="TableParagraph"/>
              <w:spacing w:before="31"/>
              <w:ind w:left="79"/>
              <w:rPr>
                <w:b/>
              </w:rPr>
            </w:pPr>
            <w:r>
              <w:rPr>
                <w:b/>
                <w:color w:val="231F20"/>
              </w:rPr>
              <w:t>Subjects</w:t>
            </w:r>
          </w:p>
        </w:tc>
        <w:tc>
          <w:tcPr>
            <w:tcW w:w="1557" w:type="dxa"/>
            <w:shd w:val="clear" w:color="auto" w:fill="DBEBE7"/>
          </w:tcPr>
          <w:p w14:paraId="3A86EBFB" w14:textId="77777777" w:rsidR="00C954BD" w:rsidRDefault="006855EC">
            <w:pPr>
              <w:pStyle w:val="TableParagraph"/>
              <w:spacing w:before="31"/>
              <w:ind w:left="79"/>
              <w:rPr>
                <w:b/>
              </w:rPr>
            </w:pPr>
            <w:r>
              <w:rPr>
                <w:b/>
                <w:color w:val="231F20"/>
              </w:rPr>
              <w:t>Grade/Level</w:t>
            </w:r>
          </w:p>
        </w:tc>
        <w:tc>
          <w:tcPr>
            <w:tcW w:w="1557" w:type="dxa"/>
            <w:shd w:val="clear" w:color="auto" w:fill="DBEBE7"/>
          </w:tcPr>
          <w:p w14:paraId="6517D57F" w14:textId="77777777" w:rsidR="00C954BD" w:rsidRDefault="006855EC">
            <w:pPr>
              <w:pStyle w:val="TableParagraph"/>
              <w:spacing w:before="31"/>
              <w:ind w:left="79"/>
              <w:rPr>
                <w:b/>
              </w:rPr>
            </w:pPr>
            <w:r>
              <w:rPr>
                <w:b/>
                <w:color w:val="231F20"/>
              </w:rPr>
              <w:t>Schools</w:t>
            </w:r>
          </w:p>
        </w:tc>
        <w:tc>
          <w:tcPr>
            <w:tcW w:w="1557" w:type="dxa"/>
            <w:shd w:val="clear" w:color="auto" w:fill="DBEBE7"/>
          </w:tcPr>
          <w:p w14:paraId="5E6656C1" w14:textId="77777777" w:rsidR="00C954BD" w:rsidRDefault="006855EC">
            <w:pPr>
              <w:pStyle w:val="TableParagraph"/>
              <w:spacing w:before="31"/>
              <w:ind w:left="78"/>
              <w:rPr>
                <w:b/>
              </w:rPr>
            </w:pPr>
            <w:r>
              <w:rPr>
                <w:b/>
                <w:color w:val="231F20"/>
              </w:rPr>
              <w:t>Populations</w:t>
            </w:r>
          </w:p>
        </w:tc>
        <w:tc>
          <w:tcPr>
            <w:tcW w:w="1557" w:type="dxa"/>
            <w:shd w:val="clear" w:color="auto" w:fill="DBEBE7"/>
          </w:tcPr>
          <w:p w14:paraId="171B205A" w14:textId="77777777" w:rsidR="00C954BD" w:rsidRDefault="006855EC">
            <w:pPr>
              <w:pStyle w:val="TableParagraph"/>
              <w:spacing w:before="66" w:line="199" w:lineRule="auto"/>
              <w:ind w:left="78"/>
              <w:rPr>
                <w:b/>
              </w:rPr>
            </w:pPr>
            <w:r>
              <w:rPr>
                <w:b/>
                <w:color w:val="231F20"/>
              </w:rPr>
              <w:t>Funding ranking</w:t>
            </w:r>
          </w:p>
          <w:p w14:paraId="06B4E84D" w14:textId="77777777" w:rsidR="00C954BD" w:rsidRDefault="006855EC">
            <w:pPr>
              <w:pStyle w:val="TableParagraph"/>
              <w:spacing w:line="240" w:lineRule="atLeast"/>
              <w:ind w:left="78" w:right="91"/>
              <w:rPr>
                <w:sz w:val="18"/>
              </w:rPr>
            </w:pPr>
            <w:r>
              <w:rPr>
                <w:color w:val="231F20"/>
                <w:sz w:val="18"/>
              </w:rPr>
              <w:t>1=Essential 2=Very important 3=Important 4=Can be delayed</w:t>
            </w:r>
          </w:p>
        </w:tc>
      </w:tr>
      <w:tr w:rsidR="00C954BD" w14:paraId="775A5D83" w14:textId="77777777">
        <w:trPr>
          <w:trHeight w:val="2170"/>
        </w:trPr>
        <w:tc>
          <w:tcPr>
            <w:tcW w:w="1557" w:type="dxa"/>
          </w:tcPr>
          <w:p w14:paraId="78E1AC36" w14:textId="77777777" w:rsidR="00C954BD" w:rsidRDefault="006855EC">
            <w:pPr>
              <w:pStyle w:val="TableParagraph"/>
              <w:spacing w:before="35" w:line="235" w:lineRule="auto"/>
              <w:ind w:left="60" w:right="-18"/>
            </w:pPr>
            <w:r>
              <w:rPr>
                <w:color w:val="231F20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 w14:paraId="04988DC1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B82DB95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162EE55B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2021A236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558B667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4BD" w14:paraId="1F4233E5" w14:textId="77777777">
        <w:trPr>
          <w:trHeight w:val="2170"/>
        </w:trPr>
        <w:tc>
          <w:tcPr>
            <w:tcW w:w="1557" w:type="dxa"/>
          </w:tcPr>
          <w:p w14:paraId="60C27176" w14:textId="77777777" w:rsidR="00C954BD" w:rsidRDefault="006855EC">
            <w:pPr>
              <w:pStyle w:val="TableParagraph"/>
              <w:spacing w:before="35" w:line="235" w:lineRule="auto"/>
              <w:ind w:left="60" w:right="-18"/>
            </w:pPr>
            <w:r>
              <w:rPr>
                <w:color w:val="231F20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 w14:paraId="1E8793E9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52421587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C40CB9C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CD00B44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044D299E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4BD" w14:paraId="4F3DEB4F" w14:textId="77777777">
        <w:trPr>
          <w:trHeight w:val="2170"/>
        </w:trPr>
        <w:tc>
          <w:tcPr>
            <w:tcW w:w="1557" w:type="dxa"/>
          </w:tcPr>
          <w:p w14:paraId="49CD9316" w14:textId="77777777" w:rsidR="00C954BD" w:rsidRDefault="006855EC">
            <w:pPr>
              <w:pStyle w:val="TableParagraph"/>
              <w:spacing w:before="35" w:line="235" w:lineRule="auto"/>
              <w:ind w:left="60" w:right="-18"/>
            </w:pPr>
            <w:r>
              <w:rPr>
                <w:color w:val="231F20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 w14:paraId="6E9083FD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39246850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4C29204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7686BD5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BFDB60C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4BD" w14:paraId="37185C9B" w14:textId="77777777">
        <w:trPr>
          <w:trHeight w:val="2170"/>
        </w:trPr>
        <w:tc>
          <w:tcPr>
            <w:tcW w:w="1557" w:type="dxa"/>
          </w:tcPr>
          <w:p w14:paraId="157926C5" w14:textId="77777777" w:rsidR="00C954BD" w:rsidRDefault="006855EC">
            <w:pPr>
              <w:pStyle w:val="TableParagraph"/>
              <w:spacing w:before="35" w:line="235" w:lineRule="auto"/>
              <w:ind w:left="60" w:right="-18"/>
            </w:pPr>
            <w:r>
              <w:rPr>
                <w:color w:val="231F20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 w14:paraId="63D10AB6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594DC54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1AD57828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0A6F50C1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B79B4C2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4BD" w14:paraId="125A2A78" w14:textId="77777777">
        <w:trPr>
          <w:trHeight w:val="2170"/>
        </w:trPr>
        <w:tc>
          <w:tcPr>
            <w:tcW w:w="1557" w:type="dxa"/>
          </w:tcPr>
          <w:p w14:paraId="3CA56FF7" w14:textId="77777777" w:rsidR="00C954BD" w:rsidRDefault="006855EC">
            <w:pPr>
              <w:pStyle w:val="TableParagraph"/>
              <w:spacing w:before="35" w:line="235" w:lineRule="auto"/>
              <w:ind w:left="60" w:right="-18"/>
            </w:pPr>
            <w:r>
              <w:rPr>
                <w:color w:val="231F20"/>
              </w:rPr>
              <w:t>Access to and support for implementation of high-quality instructional materials</w:t>
            </w:r>
          </w:p>
        </w:tc>
        <w:tc>
          <w:tcPr>
            <w:tcW w:w="1557" w:type="dxa"/>
          </w:tcPr>
          <w:p w14:paraId="31C51F69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252E053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7074C08B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A0B8005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363B0C78" w14:textId="77777777" w:rsidR="00C954BD" w:rsidRDefault="00C95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1BED06" w14:textId="77777777" w:rsidR="006855EC" w:rsidRDefault="006855EC"/>
    <w:sectPr w:rsidR="006855EC">
      <w:pgSz w:w="12240" w:h="15840"/>
      <w:pgMar w:top="1420" w:right="1340" w:bottom="1720" w:left="1220" w:header="684" w:footer="1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3FC16" w14:textId="77777777" w:rsidR="00624456" w:rsidRDefault="00624456">
      <w:r>
        <w:separator/>
      </w:r>
    </w:p>
  </w:endnote>
  <w:endnote w:type="continuationSeparator" w:id="0">
    <w:p w14:paraId="330BE9CF" w14:textId="77777777" w:rsidR="00624456" w:rsidRDefault="0062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39E5" w14:textId="77777777" w:rsidR="00C954BD" w:rsidRDefault="006855E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8000" behindDoc="1" locked="0" layoutInCell="1" allowOverlap="1" wp14:anchorId="7D20D321" wp14:editId="6F5083D5">
          <wp:simplePos x="0" y="0"/>
          <wp:positionH relativeFrom="page">
            <wp:posOffset>3606800</wp:posOffset>
          </wp:positionH>
          <wp:positionV relativeFrom="page">
            <wp:posOffset>8952483</wp:posOffset>
          </wp:positionV>
          <wp:extent cx="1523999" cy="425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C9F"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7EDE837A" wp14:editId="3966DE53">
              <wp:simplePos x="0" y="0"/>
              <wp:positionH relativeFrom="page">
                <wp:posOffset>914400</wp:posOffset>
              </wp:positionH>
              <wp:positionV relativeFrom="page">
                <wp:posOffset>8890000</wp:posOffset>
              </wp:positionV>
              <wp:extent cx="594550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55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56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88556" id="Line 4" o:spid="_x0000_s1026" style="position:absolute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00pt" to="540.15pt,70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" strokecolor="#00856f" strokeweight=".5pt">
              <o:lock v:ext="edit" shapetype="f"/>
              <w10:wrap anchorx="page" anchory="page"/>
            </v:line>
          </w:pict>
        </mc:Fallback>
      </mc:AlternateContent>
    </w:r>
    <w:r w:rsidR="00257C9F"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3A6BEB7F" wp14:editId="59363CB4">
              <wp:simplePos x="0" y="0"/>
              <wp:positionH relativeFrom="page">
                <wp:posOffset>901700</wp:posOffset>
              </wp:positionH>
              <wp:positionV relativeFrom="page">
                <wp:posOffset>9207500</wp:posOffset>
              </wp:positionV>
              <wp:extent cx="2246630" cy="2901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4663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AF383" w14:textId="7C852775" w:rsidR="00C954BD" w:rsidRDefault="006855EC">
                          <w:pPr>
                            <w:pStyle w:val="BodyText"/>
                            <w:spacing w:before="32" w:line="223" w:lineRule="auto"/>
                            <w:ind w:left="20" w:right="7"/>
                          </w:pPr>
                          <w:r>
                            <w:rPr>
                              <w:color w:val="231F20"/>
                            </w:rPr>
                            <w:t xml:space="preserve">Professional Learning State and District </w:t>
                          </w:r>
                          <w:r w:rsidR="00BD713A">
                            <w:rPr>
                              <w:color w:val="231F20"/>
                              <w:spacing w:val="-4"/>
                            </w:rPr>
                            <w:t>Planner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: </w:t>
                          </w:r>
                          <w:r>
                            <w:rPr>
                              <w:color w:val="58595B"/>
                            </w:rPr>
                            <w:t>The Title IIA Equity Multiplier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BEB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25pt;width:176.9pt;height:22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" filled="f" stroked="f">
              <v:path arrowok="t"/>
              <v:textbox inset="0,0,0,0">
                <w:txbxContent>
                  <w:p w14:paraId="3BAAF383" w14:textId="7C852775" w:rsidR="00C954BD" w:rsidRDefault="006855EC">
                    <w:pPr>
                      <w:pStyle w:val="BodyText"/>
                      <w:spacing w:before="32" w:line="223" w:lineRule="auto"/>
                      <w:ind w:left="20" w:right="7"/>
                    </w:pPr>
                    <w:r>
                      <w:rPr>
                        <w:color w:val="231F20"/>
                      </w:rPr>
                      <w:t xml:space="preserve">Professional Learning State and District </w:t>
                    </w:r>
                    <w:r w:rsidR="00BD713A">
                      <w:rPr>
                        <w:color w:val="231F20"/>
                        <w:spacing w:val="-4"/>
                      </w:rPr>
                      <w:t>Planner</w:t>
                    </w:r>
                    <w:r>
                      <w:rPr>
                        <w:color w:val="231F20"/>
                        <w:spacing w:val="-4"/>
                      </w:rPr>
                      <w:t xml:space="preserve">: </w:t>
                    </w:r>
                    <w:r>
                      <w:rPr>
                        <w:color w:val="58595B"/>
                      </w:rPr>
                      <w:t>The Title IIA Equity Multiplier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7C9F"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10C3AFDE" wp14:editId="3E3E8F65">
              <wp:simplePos x="0" y="0"/>
              <wp:positionH relativeFrom="page">
                <wp:posOffset>5670550</wp:posOffset>
              </wp:positionH>
              <wp:positionV relativeFrom="page">
                <wp:posOffset>9329420</wp:posOffset>
              </wp:positionV>
              <wp:extent cx="1207135" cy="1631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0713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E6AC" w14:textId="77777777" w:rsidR="00C954BD" w:rsidRDefault="006855EC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essa.learningforward.org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3AFDE" id="Text Box 2" o:spid="_x0000_s1028" type="#_x0000_t202" style="position:absolute;margin-left:446.5pt;margin-top:734.6pt;width:95.05pt;height:12.8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" filled="f" stroked="f">
              <v:path arrowok="t"/>
              <v:textbox inset="0,0,0,0">
                <w:txbxContent>
                  <w:p w14:paraId="2119E6AC" w14:textId="77777777" w:rsidR="00C954BD" w:rsidRDefault="006855EC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essa.learningforward.org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7C9F"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010FF4EE" wp14:editId="5C33FCC4">
              <wp:simplePos x="0" y="0"/>
              <wp:positionH relativeFrom="page">
                <wp:posOffset>3592830</wp:posOffset>
              </wp:positionH>
              <wp:positionV relativeFrom="page">
                <wp:posOffset>9353550</wp:posOffset>
              </wp:positionV>
              <wp:extent cx="1561465" cy="1282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146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1C715" w14:textId="77777777" w:rsidR="00C954BD" w:rsidRDefault="006855EC">
                          <w:pPr>
                            <w:spacing w:before="24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3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1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  <w:sz w:val="13"/>
                            </w:rPr>
                            <w:t>PROFESSIONAL</w:t>
                          </w:r>
                          <w:r>
                            <w:rPr>
                              <w:color w:val="231F20"/>
                              <w:spacing w:val="-1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  <w:sz w:val="13"/>
                            </w:rPr>
                            <w:t>LEARNING</w:t>
                          </w:r>
                          <w:r>
                            <w:rPr>
                              <w:color w:val="231F20"/>
                              <w:spacing w:val="-1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  <w:sz w:val="13"/>
                            </w:rPr>
                            <w:t>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FF4EE" id="Text Box 1" o:spid="_x0000_s1029" type="#_x0000_t202" style="position:absolute;margin-left:282.9pt;margin-top:736.5pt;width:122.95pt;height:10.1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" filled="f" stroked="f">
              <v:path arrowok="t"/>
              <v:textbox inset="0,0,0,0">
                <w:txbxContent>
                  <w:p w14:paraId="68B1C715" w14:textId="77777777" w:rsidR="00C954BD" w:rsidRDefault="006855EC">
                    <w:pPr>
                      <w:spacing w:before="24"/>
                      <w:ind w:left="20"/>
                      <w:rPr>
                        <w:sz w:val="13"/>
                      </w:rPr>
                    </w:pPr>
                    <w:r>
                      <w:rPr>
                        <w:color w:val="231F20"/>
                        <w:w w:val="105"/>
                        <w:sz w:val="13"/>
                      </w:rPr>
                      <w:t>THE</w:t>
                    </w:r>
                    <w:r>
                      <w:rPr>
                        <w:color w:val="231F20"/>
                        <w:spacing w:val="-1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  <w:sz w:val="13"/>
                      </w:rPr>
                      <w:t>PROFESSIONAL</w:t>
                    </w:r>
                    <w:r>
                      <w:rPr>
                        <w:color w:val="231F20"/>
                        <w:spacing w:val="-1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  <w:sz w:val="13"/>
                      </w:rPr>
                      <w:t>LEARNING</w:t>
                    </w:r>
                    <w:r>
                      <w:rPr>
                        <w:color w:val="231F20"/>
                        <w:spacing w:val="-1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  <w:sz w:val="13"/>
                      </w:rPr>
                      <w:t>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B6338" w14:textId="77777777" w:rsidR="00624456" w:rsidRDefault="00624456">
      <w:r>
        <w:separator/>
      </w:r>
    </w:p>
  </w:footnote>
  <w:footnote w:type="continuationSeparator" w:id="0">
    <w:p w14:paraId="6EB2A17A" w14:textId="77777777" w:rsidR="00624456" w:rsidRDefault="0062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98CA" w14:textId="77777777" w:rsidR="00C954BD" w:rsidRDefault="00257C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71F83726" wp14:editId="5A68AF7A">
              <wp:simplePos x="0" y="0"/>
              <wp:positionH relativeFrom="page">
                <wp:posOffset>2597785</wp:posOffset>
              </wp:positionH>
              <wp:positionV relativeFrom="page">
                <wp:posOffset>421640</wp:posOffset>
              </wp:positionV>
              <wp:extent cx="2590165" cy="16319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016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4CEC9" w14:textId="77777777" w:rsidR="00C954BD" w:rsidRDefault="006855EC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LEA Stage 2, Tool 2.2: Setting strategy priorities,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837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4.55pt;margin-top:33.2pt;width:203.95pt;height:12.8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" filled="f" stroked="f">
              <v:path arrowok="t"/>
              <v:textbox inset="0,0,0,0">
                <w:txbxContent>
                  <w:p w14:paraId="5174CEC9" w14:textId="77777777" w:rsidR="00C954BD" w:rsidRDefault="006855EC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LEA Stage 2, Tool 2.2: Setting strategy priorities,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B3C68"/>
    <w:multiLevelType w:val="hybridMultilevel"/>
    <w:tmpl w:val="1E5CF088"/>
    <w:lvl w:ilvl="0" w:tplc="569868B4">
      <w:numFmt w:val="bullet"/>
      <w:lvlText w:val="•"/>
      <w:lvlJc w:val="left"/>
      <w:pPr>
        <w:ind w:left="300" w:hanging="22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56766984">
      <w:numFmt w:val="bullet"/>
      <w:lvlText w:val="•"/>
      <w:lvlJc w:val="left"/>
      <w:pPr>
        <w:ind w:left="988" w:hanging="220"/>
      </w:pPr>
      <w:rPr>
        <w:rFonts w:hint="default"/>
      </w:rPr>
    </w:lvl>
    <w:lvl w:ilvl="2" w:tplc="7F3E0774">
      <w:numFmt w:val="bullet"/>
      <w:lvlText w:val="•"/>
      <w:lvlJc w:val="left"/>
      <w:pPr>
        <w:ind w:left="1676" w:hanging="220"/>
      </w:pPr>
      <w:rPr>
        <w:rFonts w:hint="default"/>
      </w:rPr>
    </w:lvl>
    <w:lvl w:ilvl="3" w:tplc="5C940D9C">
      <w:numFmt w:val="bullet"/>
      <w:lvlText w:val="•"/>
      <w:lvlJc w:val="left"/>
      <w:pPr>
        <w:ind w:left="2364" w:hanging="220"/>
      </w:pPr>
      <w:rPr>
        <w:rFonts w:hint="default"/>
      </w:rPr>
    </w:lvl>
    <w:lvl w:ilvl="4" w:tplc="9DF68130">
      <w:numFmt w:val="bullet"/>
      <w:lvlText w:val="•"/>
      <w:lvlJc w:val="left"/>
      <w:pPr>
        <w:ind w:left="3052" w:hanging="220"/>
      </w:pPr>
      <w:rPr>
        <w:rFonts w:hint="default"/>
      </w:rPr>
    </w:lvl>
    <w:lvl w:ilvl="5" w:tplc="A170B4AA">
      <w:numFmt w:val="bullet"/>
      <w:lvlText w:val="•"/>
      <w:lvlJc w:val="left"/>
      <w:pPr>
        <w:ind w:left="3740" w:hanging="220"/>
      </w:pPr>
      <w:rPr>
        <w:rFonts w:hint="default"/>
      </w:rPr>
    </w:lvl>
    <w:lvl w:ilvl="6" w:tplc="58C058E6">
      <w:numFmt w:val="bullet"/>
      <w:lvlText w:val="•"/>
      <w:lvlJc w:val="left"/>
      <w:pPr>
        <w:ind w:left="4428" w:hanging="220"/>
      </w:pPr>
      <w:rPr>
        <w:rFonts w:hint="default"/>
      </w:rPr>
    </w:lvl>
    <w:lvl w:ilvl="7" w:tplc="D69840B0">
      <w:numFmt w:val="bullet"/>
      <w:lvlText w:val="•"/>
      <w:lvlJc w:val="left"/>
      <w:pPr>
        <w:ind w:left="5116" w:hanging="220"/>
      </w:pPr>
      <w:rPr>
        <w:rFonts w:hint="default"/>
      </w:rPr>
    </w:lvl>
    <w:lvl w:ilvl="8" w:tplc="177A0D34">
      <w:numFmt w:val="bullet"/>
      <w:lvlText w:val="•"/>
      <w:lvlJc w:val="left"/>
      <w:pPr>
        <w:ind w:left="5804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BD"/>
    <w:rsid w:val="00257C9F"/>
    <w:rsid w:val="00624456"/>
    <w:rsid w:val="006855EC"/>
    <w:rsid w:val="00783497"/>
    <w:rsid w:val="00B51211"/>
    <w:rsid w:val="00B56DEA"/>
    <w:rsid w:val="00BD713A"/>
    <w:rsid w:val="00C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9F4E2"/>
  <w15:docId w15:val="{8845DF79-AC93-A046-81F8-A714516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7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13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BD7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13A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4</cp:revision>
  <dcterms:created xsi:type="dcterms:W3CDTF">2020-10-02T22:27:00Z</dcterms:created>
  <dcterms:modified xsi:type="dcterms:W3CDTF">2020-10-06T08:58:00Z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