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4089"/>
      </w:tblGrid>
      <w:tr w:rsidR="00307988" w14:paraId="5836C302" w14:textId="77777777">
        <w:trPr>
          <w:trHeight w:val="446"/>
        </w:trPr>
        <w:tc>
          <w:tcPr>
            <w:tcW w:w="2241" w:type="dxa"/>
          </w:tcPr>
          <w:p w14:paraId="3E9B6AB3" w14:textId="77777777" w:rsidR="00307988" w:rsidRDefault="00000E0B">
            <w:pPr>
              <w:pStyle w:val="TableParagraph"/>
              <w:spacing w:before="14" w:line="412" w:lineRule="exact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754F94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754F94"/>
              </w:rPr>
              <w:t xml:space="preserve">SEA </w:t>
            </w:r>
            <w:r>
              <w:rPr>
                <w:b/>
                <w:color w:val="FFFFFF"/>
                <w:spacing w:val="-8"/>
                <w:sz w:val="36"/>
                <w:shd w:val="clear" w:color="auto" w:fill="754F94"/>
              </w:rPr>
              <w:t>Tool</w:t>
            </w:r>
            <w:r>
              <w:rPr>
                <w:b/>
                <w:color w:val="FFFFFF"/>
                <w:spacing w:val="-14"/>
                <w:sz w:val="36"/>
                <w:shd w:val="clear" w:color="auto" w:fill="754F94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754F94"/>
              </w:rPr>
              <w:t>4.1</w:t>
            </w:r>
            <w:r>
              <w:rPr>
                <w:b/>
                <w:color w:val="FFFFFF"/>
                <w:spacing w:val="-7"/>
                <w:sz w:val="36"/>
                <w:shd w:val="clear" w:color="auto" w:fill="754F94"/>
              </w:rPr>
              <w:t xml:space="preserve"> </w:t>
            </w:r>
          </w:p>
        </w:tc>
        <w:tc>
          <w:tcPr>
            <w:tcW w:w="4089" w:type="dxa"/>
          </w:tcPr>
          <w:p w14:paraId="6B593442" w14:textId="77777777" w:rsidR="00307988" w:rsidRDefault="00000E0B">
            <w:pPr>
              <w:pStyle w:val="TableParagraph"/>
              <w:spacing w:before="14" w:line="412" w:lineRule="exact"/>
              <w:ind w:left="108"/>
              <w:rPr>
                <w:b/>
                <w:sz w:val="36"/>
              </w:rPr>
            </w:pPr>
            <w:r>
              <w:rPr>
                <w:b/>
                <w:color w:val="754F94"/>
                <w:sz w:val="36"/>
              </w:rPr>
              <w:t>Signaling state priorities</w:t>
            </w:r>
          </w:p>
        </w:tc>
      </w:tr>
    </w:tbl>
    <w:p w14:paraId="47E40775" w14:textId="77777777" w:rsidR="00307988" w:rsidRDefault="00307988">
      <w:pPr>
        <w:pStyle w:val="BodyText"/>
        <w:rPr>
          <w:rFonts w:ascii="Times New Roman"/>
          <w:sz w:val="20"/>
        </w:rPr>
      </w:pPr>
    </w:p>
    <w:p w14:paraId="11FEE448" w14:textId="77777777" w:rsidR="00307988" w:rsidRDefault="00307988">
      <w:pPr>
        <w:pStyle w:val="BodyText"/>
        <w:rPr>
          <w:rFonts w:ascii="Times New Roman"/>
          <w:sz w:val="20"/>
        </w:rPr>
      </w:pPr>
    </w:p>
    <w:p w14:paraId="7A884A49" w14:textId="77777777" w:rsidR="00307988" w:rsidRDefault="00307988"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307988" w14:paraId="57ECAFE4" w14:textId="77777777">
        <w:trPr>
          <w:trHeight w:val="955"/>
        </w:trPr>
        <w:tc>
          <w:tcPr>
            <w:tcW w:w="2150" w:type="dxa"/>
            <w:shd w:val="clear" w:color="auto" w:fill="F1EFF6"/>
          </w:tcPr>
          <w:p w14:paraId="5996D232" w14:textId="77777777" w:rsidR="00307988" w:rsidRDefault="00000E0B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0A0AB5CA" w14:textId="77777777" w:rsidR="00307988" w:rsidRDefault="00000E0B">
            <w:pPr>
              <w:pStyle w:val="TableParagraph"/>
              <w:spacing w:before="71" w:line="254" w:lineRule="auto"/>
              <w:ind w:right="532"/>
              <w:jc w:val="both"/>
            </w:pPr>
            <w:r>
              <w:rPr>
                <w:color w:val="231F20"/>
              </w:rPr>
              <w:t>Review the examples for each strategy and corresponding categories to determine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how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your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state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will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embed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some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all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these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strategies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into the supporting and monitoring process with all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districts.</w:t>
            </w:r>
          </w:p>
        </w:tc>
      </w:tr>
    </w:tbl>
    <w:p w14:paraId="2E24AFCC" w14:textId="77777777" w:rsidR="00307988" w:rsidRDefault="00307988">
      <w:pPr>
        <w:pStyle w:val="BodyText"/>
        <w:rPr>
          <w:rFonts w:ascii="Times New Roman"/>
          <w:sz w:val="20"/>
        </w:rPr>
      </w:pPr>
    </w:p>
    <w:p w14:paraId="5078E326" w14:textId="77777777" w:rsidR="00307988" w:rsidRDefault="00307988">
      <w:pPr>
        <w:pStyle w:val="BodyText"/>
        <w:spacing w:before="4"/>
        <w:rPr>
          <w:rFonts w:ascii="Times New Roman"/>
          <w:sz w:val="21"/>
        </w:rPr>
      </w:pPr>
    </w:p>
    <w:p w14:paraId="48AF11EE" w14:textId="77777777" w:rsidR="00307988" w:rsidRDefault="00000E0B">
      <w:pPr>
        <w:pStyle w:val="Title"/>
      </w:pPr>
      <w:r>
        <w:rPr>
          <w:color w:val="231F20"/>
        </w:rPr>
        <w:t>District Goal</w:t>
      </w:r>
    </w:p>
    <w:p w14:paraId="7F4FAB3A" w14:textId="77777777" w:rsidR="00307988" w:rsidRDefault="00000E0B">
      <w:pPr>
        <w:spacing w:before="261"/>
        <w:ind w:left="220"/>
        <w:jc w:val="both"/>
      </w:pPr>
      <w:r>
        <w:rPr>
          <w:b/>
          <w:color w:val="231F20"/>
        </w:rPr>
        <w:t xml:space="preserve">Example: </w:t>
      </w:r>
      <w:r>
        <w:rPr>
          <w:color w:val="231F20"/>
        </w:rPr>
        <w:t>Increase Academic Achievement: ELA</w:t>
      </w:r>
    </w:p>
    <w:p w14:paraId="2E68D31F" w14:textId="77777777" w:rsidR="00307988" w:rsidRDefault="00000E0B">
      <w:pPr>
        <w:pStyle w:val="BodyText"/>
        <w:spacing w:before="76" w:line="254" w:lineRule="auto"/>
        <w:ind w:left="220" w:right="787"/>
        <w:jc w:val="both"/>
      </w:pPr>
      <w:r>
        <w:rPr>
          <w:color w:val="231F20"/>
        </w:rPr>
        <w:t>Increase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on-track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mastered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3–8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state assessment. Also, Increase the percentage of students on-track or mastered in the BHN, </w:t>
      </w:r>
      <w:r>
        <w:rPr>
          <w:color w:val="231F20"/>
          <w:spacing w:val="-4"/>
        </w:rPr>
        <w:t xml:space="preserve">ED, </w:t>
      </w:r>
      <w:r>
        <w:rPr>
          <w:color w:val="231F20"/>
        </w:rPr>
        <w:t>and SWD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subgroups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"/>
        </w:rPr>
        <w:t>6–8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span.</w:t>
      </w:r>
    </w:p>
    <w:p w14:paraId="06781A44" w14:textId="77777777" w:rsidR="00307988" w:rsidRDefault="00307988">
      <w:pPr>
        <w:pStyle w:val="BodyText"/>
        <w:spacing w:before="8"/>
        <w:rPr>
          <w:sz w:val="26"/>
        </w:rPr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2630"/>
        <w:gridCol w:w="1320"/>
        <w:gridCol w:w="960"/>
        <w:gridCol w:w="840"/>
        <w:gridCol w:w="840"/>
      </w:tblGrid>
      <w:tr w:rsidR="00307988" w14:paraId="5F793A18" w14:textId="77777777">
        <w:trPr>
          <w:trHeight w:val="820"/>
        </w:trPr>
        <w:tc>
          <w:tcPr>
            <w:tcW w:w="2774" w:type="dxa"/>
            <w:shd w:val="clear" w:color="auto" w:fill="754F94"/>
          </w:tcPr>
          <w:p w14:paraId="4894598D" w14:textId="77777777" w:rsidR="00307988" w:rsidRDefault="00000E0B">
            <w:pPr>
              <w:pStyle w:val="TableParagraph"/>
              <w:spacing w:before="35"/>
              <w:ind w:left="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Strategy</w:t>
            </w:r>
          </w:p>
        </w:tc>
        <w:tc>
          <w:tcPr>
            <w:tcW w:w="2630" w:type="dxa"/>
            <w:shd w:val="clear" w:color="auto" w:fill="754F94"/>
          </w:tcPr>
          <w:p w14:paraId="7E3C4E8F" w14:textId="77777777" w:rsidR="00307988" w:rsidRDefault="00000E0B">
            <w:pPr>
              <w:pStyle w:val="TableParagraph"/>
              <w:spacing w:before="35"/>
              <w:ind w:left="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step</w:t>
            </w:r>
          </w:p>
        </w:tc>
        <w:tc>
          <w:tcPr>
            <w:tcW w:w="1320" w:type="dxa"/>
            <w:shd w:val="clear" w:color="auto" w:fill="754F94"/>
          </w:tcPr>
          <w:p w14:paraId="6A9ECA12" w14:textId="77777777" w:rsidR="00307988" w:rsidRDefault="00000E0B">
            <w:pPr>
              <w:pStyle w:val="TableParagraph"/>
              <w:spacing w:line="220" w:lineRule="auto"/>
              <w:ind w:left="40" w:righ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Performance measure</w:t>
            </w:r>
          </w:p>
        </w:tc>
        <w:tc>
          <w:tcPr>
            <w:tcW w:w="960" w:type="dxa"/>
            <w:shd w:val="clear" w:color="auto" w:fill="754F94"/>
          </w:tcPr>
          <w:p w14:paraId="68BAF3C5" w14:textId="5EDC9264" w:rsidR="00307988" w:rsidRDefault="00000E0B">
            <w:pPr>
              <w:pStyle w:val="TableParagraph"/>
              <w:spacing w:line="220" w:lineRule="auto"/>
              <w:ind w:left="40" w:right="2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Person responsible</w:t>
            </w:r>
          </w:p>
        </w:tc>
        <w:tc>
          <w:tcPr>
            <w:tcW w:w="840" w:type="dxa"/>
            <w:shd w:val="clear" w:color="auto" w:fill="754F94"/>
          </w:tcPr>
          <w:p w14:paraId="6726C799" w14:textId="4EE8E7CF" w:rsidR="00307988" w:rsidRDefault="00000E0B">
            <w:pPr>
              <w:pStyle w:val="TableParagraph"/>
              <w:spacing w:before="52" w:line="225" w:lineRule="auto"/>
              <w:ind w:left="40"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Estimated completion date</w:t>
            </w:r>
          </w:p>
        </w:tc>
        <w:tc>
          <w:tcPr>
            <w:tcW w:w="840" w:type="dxa"/>
            <w:shd w:val="clear" w:color="auto" w:fill="754F94"/>
          </w:tcPr>
          <w:p w14:paraId="55C41C29" w14:textId="77777777" w:rsidR="00307988" w:rsidRDefault="00000E0B">
            <w:pPr>
              <w:pStyle w:val="TableParagraph"/>
              <w:spacing w:before="52" w:line="225" w:lineRule="auto"/>
              <w:ind w:left="40" w:right="1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Funding source</w:t>
            </w:r>
          </w:p>
        </w:tc>
      </w:tr>
      <w:tr w:rsidR="00307988" w14:paraId="21338AB0" w14:textId="77777777">
        <w:trPr>
          <w:trHeight w:val="6820"/>
        </w:trPr>
        <w:tc>
          <w:tcPr>
            <w:tcW w:w="2774" w:type="dxa"/>
          </w:tcPr>
          <w:p w14:paraId="48B68575" w14:textId="77777777" w:rsidR="00307988" w:rsidRDefault="00000E0B">
            <w:pPr>
              <w:pStyle w:val="TableParagraph"/>
              <w:spacing w:line="220" w:lineRule="auto"/>
              <w:ind w:left="282" w:right="246" w:hanging="20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1) Standards-aligned curriculum and materials</w:t>
            </w:r>
          </w:p>
          <w:p w14:paraId="1D2AB212" w14:textId="77777777" w:rsidR="00307988" w:rsidRDefault="00000E0B">
            <w:pPr>
              <w:pStyle w:val="TableParagraph"/>
              <w:spacing w:before="58" w:line="220" w:lineRule="auto"/>
              <w:ind w:right="618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The district will support high-quality</w:t>
            </w:r>
          </w:p>
          <w:p w14:paraId="09FE2AD8" w14:textId="77777777" w:rsidR="00307988" w:rsidRDefault="00000E0B">
            <w:pPr>
              <w:pStyle w:val="TableParagraph"/>
              <w:spacing w:before="0" w:line="220" w:lineRule="auto"/>
              <w:ind w:right="24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reading/language curriculum and instructional materials to support the State Standards.</w:t>
            </w:r>
          </w:p>
          <w:p w14:paraId="76BE4CD3" w14:textId="77777777" w:rsidR="00307988" w:rsidRDefault="00000E0B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Benchmark indicator</w:t>
            </w:r>
          </w:p>
          <w:p w14:paraId="7D9628DE" w14:textId="33B9CF02" w:rsidR="00307988" w:rsidRDefault="00000E0B">
            <w:pPr>
              <w:pStyle w:val="TableParagraph"/>
              <w:spacing w:before="55" w:line="220" w:lineRule="auto"/>
              <w:ind w:right="37"/>
              <w:rPr>
                <w:sz w:val="20"/>
              </w:rPr>
            </w:pPr>
            <w:r>
              <w:rPr>
                <w:color w:val="231F20"/>
                <w:sz w:val="20"/>
              </w:rPr>
              <w:t>Surveys of teacher perceptions of curriculum conducted twice during the 2019-20 school year. Administrators and instructional coaches will conduct Instructional walk</w:t>
            </w:r>
            <w:r w:rsidR="00311C81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throughs three times per year. A system of “look-</w:t>
            </w:r>
            <w:proofErr w:type="spellStart"/>
            <w:r>
              <w:rPr>
                <w:color w:val="231F20"/>
                <w:sz w:val="20"/>
              </w:rPr>
              <w:t>fors</w:t>
            </w:r>
            <w:proofErr w:type="spellEnd"/>
            <w:r>
              <w:rPr>
                <w:color w:val="231F20"/>
                <w:sz w:val="20"/>
              </w:rPr>
              <w:t>,” or nonnegotiable practices and/or behaviors,</w:t>
            </w:r>
          </w:p>
          <w:p w14:paraId="04AAD459" w14:textId="3F4F7E7C" w:rsidR="00307988" w:rsidRDefault="00000E0B">
            <w:pPr>
              <w:pStyle w:val="TableParagraph"/>
              <w:spacing w:before="0" w:line="220" w:lineRule="auto"/>
              <w:ind w:right="184"/>
              <w:rPr>
                <w:sz w:val="20"/>
              </w:rPr>
            </w:pPr>
            <w:r>
              <w:rPr>
                <w:color w:val="231F20"/>
                <w:sz w:val="20"/>
              </w:rPr>
              <w:t>will be used to document and determine support needed as well as track successful implementation. At least 80% of students at each grade level will show a positive trajectory on quarterly benchmarks.</w:t>
            </w:r>
          </w:p>
        </w:tc>
        <w:tc>
          <w:tcPr>
            <w:tcW w:w="2630" w:type="dxa"/>
          </w:tcPr>
          <w:p w14:paraId="28A10C03" w14:textId="77777777" w:rsidR="00307988" w:rsidRDefault="00000E0B">
            <w:pPr>
              <w:pStyle w:val="TableParagraph"/>
              <w:spacing w:line="220" w:lineRule="auto"/>
              <w:ind w:right="1057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Implementation of approved ELA curriculum</w:t>
            </w:r>
          </w:p>
          <w:p w14:paraId="25514A07" w14:textId="2D601148" w:rsidR="00307988" w:rsidRDefault="00000E0B" w:rsidP="00604FDC">
            <w:pPr>
              <w:pStyle w:val="TableParagraph"/>
              <w:spacing w:before="57" w:line="220" w:lineRule="auto"/>
              <w:ind w:right="20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The district will</w:t>
            </w:r>
            <w:r w:rsidR="00604FDC">
              <w:rPr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provide</w:t>
            </w:r>
            <w:proofErr w:type="gramEnd"/>
            <w:r>
              <w:rPr>
                <w:color w:val="231F20"/>
                <w:sz w:val="20"/>
              </w:rPr>
              <w:t xml:space="preserve"> and teachers will utilize the approved ELA Curriculum for grades 3–8. Trainers to support implementation will be brought in as needed. Embedded instructional coaching support will be provided through</w:t>
            </w:r>
          </w:p>
          <w:p w14:paraId="3A91B3C7" w14:textId="77777777" w:rsidR="00307988" w:rsidRDefault="00000E0B">
            <w:pPr>
              <w:pStyle w:val="TableParagraph"/>
              <w:spacing w:before="0" w:line="21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co-planning,</w:t>
            </w:r>
          </w:p>
          <w:p w14:paraId="02AAACD8" w14:textId="1ADCE889" w:rsidR="00307988" w:rsidRDefault="00000E0B">
            <w:pPr>
              <w:pStyle w:val="TableParagraph"/>
              <w:spacing w:before="0" w:line="220" w:lineRule="auto"/>
              <w:ind w:right="99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in-class coaching, modeling, and co</w:t>
            </w:r>
            <w:r w:rsidR="00311C81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 xml:space="preserve">teaching. </w:t>
            </w:r>
            <w:r>
              <w:rPr>
                <w:color w:val="231F20"/>
                <w:spacing w:val="-4"/>
                <w:sz w:val="20"/>
              </w:rPr>
              <w:t>Teachers</w:t>
            </w:r>
          </w:p>
          <w:p w14:paraId="68B57BE2" w14:textId="059A6E72" w:rsidR="00307988" w:rsidRDefault="00000E0B">
            <w:pPr>
              <w:pStyle w:val="TableParagraph"/>
              <w:spacing w:before="0" w:line="220" w:lineRule="auto"/>
              <w:ind w:right="472"/>
              <w:rPr>
                <w:sz w:val="20"/>
              </w:rPr>
            </w:pPr>
            <w:r>
              <w:rPr>
                <w:color w:val="231F20"/>
                <w:sz w:val="20"/>
              </w:rPr>
              <w:t>will also be provided opportunities to observe</w:t>
            </w:r>
          </w:p>
          <w:p w14:paraId="155E8DC2" w14:textId="27D197ED" w:rsidR="00307988" w:rsidRDefault="00000E0B">
            <w:pPr>
              <w:pStyle w:val="TableParagraph"/>
              <w:spacing w:before="0" w:line="220" w:lineRule="auto"/>
              <w:ind w:right="89"/>
              <w:rPr>
                <w:sz w:val="20"/>
              </w:rPr>
            </w:pPr>
            <w:r>
              <w:rPr>
                <w:color w:val="231F20"/>
                <w:sz w:val="20"/>
              </w:rPr>
              <w:t>highly effective teachers. ELA walkthroughs will take place every nine weeks to ensure the adherence to instructional shifts.</w:t>
            </w:r>
          </w:p>
        </w:tc>
        <w:tc>
          <w:tcPr>
            <w:tcW w:w="1320" w:type="dxa"/>
          </w:tcPr>
          <w:p w14:paraId="77AF08C1" w14:textId="76F7CC8F" w:rsidR="00307988" w:rsidRDefault="00000E0B" w:rsidP="00604FDC">
            <w:pPr>
              <w:pStyle w:val="TableParagraph"/>
              <w:spacing w:line="220" w:lineRule="auto"/>
              <w:ind w:right="5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For 2019–20,</w:t>
            </w:r>
            <w:r w:rsidR="00604FD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our</w:t>
            </w:r>
            <w:r w:rsidR="00604FDC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district will increase the percentage of students on-track or mastered from 36.8%</w:t>
            </w:r>
          </w:p>
          <w:p w14:paraId="10EFCBC7" w14:textId="77777777" w:rsidR="00307988" w:rsidRDefault="00000E0B">
            <w:pPr>
              <w:pStyle w:val="TableParagraph"/>
              <w:spacing w:before="0" w:line="220" w:lineRule="auto"/>
              <w:ind w:right="58"/>
              <w:rPr>
                <w:sz w:val="20"/>
              </w:rPr>
            </w:pPr>
            <w:r>
              <w:rPr>
                <w:color w:val="231F20"/>
                <w:sz w:val="20"/>
              </w:rPr>
              <w:t>by 5% or more on the grade 3-8 ELA assessment.</w:t>
            </w:r>
          </w:p>
          <w:p w14:paraId="5A6947EA" w14:textId="77777777" w:rsidR="00307988" w:rsidRDefault="00000E0B">
            <w:pPr>
              <w:pStyle w:val="TableParagraph"/>
              <w:spacing w:before="114"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For 2019–20,</w:t>
            </w:r>
          </w:p>
          <w:p w14:paraId="13F8C5CF" w14:textId="108BB946" w:rsidR="00307988" w:rsidRDefault="00000E0B">
            <w:pPr>
              <w:pStyle w:val="TableParagraph"/>
              <w:spacing w:before="5" w:line="220" w:lineRule="auto"/>
              <w:ind w:right="102"/>
              <w:rPr>
                <w:sz w:val="20"/>
              </w:rPr>
            </w:pPr>
            <w:r>
              <w:rPr>
                <w:color w:val="231F20"/>
                <w:sz w:val="20"/>
              </w:rPr>
              <w:t>our district will increase the percentage of students</w:t>
            </w:r>
          </w:p>
          <w:p w14:paraId="49C95BF5" w14:textId="77777777" w:rsidR="00307988" w:rsidRDefault="00000E0B">
            <w:pPr>
              <w:pStyle w:val="TableParagraph"/>
              <w:spacing w:before="0" w:line="220" w:lineRule="auto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>on-track or mastered by 5% or more in the BHN (23.7%), ED</w:t>
            </w:r>
          </w:p>
          <w:p w14:paraId="4CD9A3F7" w14:textId="77777777" w:rsidR="00307988" w:rsidRDefault="00000E0B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(22.3%),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</w:p>
          <w:p w14:paraId="54740C07" w14:textId="77777777" w:rsidR="00307988" w:rsidRDefault="00000E0B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SWD</w:t>
            </w:r>
            <w:r>
              <w:rPr>
                <w:color w:val="231F20"/>
                <w:spacing w:val="2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7"/>
                <w:w w:val="95"/>
                <w:sz w:val="20"/>
              </w:rPr>
              <w:t>(11.5%)</w:t>
            </w:r>
          </w:p>
          <w:p w14:paraId="02FE4575" w14:textId="77777777" w:rsidR="00307988" w:rsidRDefault="00000E0B">
            <w:pPr>
              <w:pStyle w:val="TableParagraph"/>
              <w:spacing w:before="2" w:line="220" w:lineRule="auto"/>
              <w:ind w:right="95"/>
              <w:rPr>
                <w:sz w:val="20"/>
              </w:rPr>
            </w:pPr>
            <w:r>
              <w:rPr>
                <w:color w:val="231F20"/>
                <w:sz w:val="20"/>
              </w:rPr>
              <w:t>subgroups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 xml:space="preserve">on </w:t>
            </w:r>
            <w:r>
              <w:rPr>
                <w:color w:val="231F20"/>
                <w:sz w:val="20"/>
              </w:rPr>
              <w:t xml:space="preserve">the Grade </w:t>
            </w:r>
            <w:r>
              <w:rPr>
                <w:color w:val="231F20"/>
                <w:spacing w:val="2"/>
                <w:sz w:val="20"/>
              </w:rPr>
              <w:t>3–8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ELA</w:t>
            </w:r>
          </w:p>
          <w:p w14:paraId="6FBB55F8" w14:textId="77777777" w:rsidR="00307988" w:rsidRDefault="00000E0B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assessment.</w:t>
            </w:r>
          </w:p>
        </w:tc>
        <w:tc>
          <w:tcPr>
            <w:tcW w:w="960" w:type="dxa"/>
          </w:tcPr>
          <w:p w14:paraId="00DDFB58" w14:textId="5B4F6C33" w:rsidR="00307988" w:rsidRDefault="00000E0B">
            <w:pPr>
              <w:pStyle w:val="TableParagraph"/>
              <w:spacing w:line="220" w:lineRule="auto"/>
              <w:ind w:right="18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District content supervisors</w:t>
            </w:r>
          </w:p>
        </w:tc>
        <w:tc>
          <w:tcPr>
            <w:tcW w:w="840" w:type="dxa"/>
          </w:tcPr>
          <w:p w14:paraId="5F0006E7" w14:textId="77777777" w:rsidR="00307988" w:rsidRDefault="00000E0B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04/2020</w:t>
            </w:r>
          </w:p>
        </w:tc>
        <w:tc>
          <w:tcPr>
            <w:tcW w:w="840" w:type="dxa"/>
          </w:tcPr>
          <w:p w14:paraId="1F15C501" w14:textId="77777777" w:rsidR="00307988" w:rsidRDefault="00000E0B">
            <w:pPr>
              <w:pStyle w:val="TableParagraph"/>
              <w:spacing w:line="220" w:lineRule="auto"/>
              <w:ind w:right="224"/>
              <w:rPr>
                <w:sz w:val="20"/>
              </w:rPr>
            </w:pPr>
            <w:r>
              <w:rPr>
                <w:color w:val="231F20"/>
                <w:sz w:val="20"/>
              </w:rPr>
              <w:t>Local/ State funds</w:t>
            </w:r>
          </w:p>
        </w:tc>
      </w:tr>
    </w:tbl>
    <w:p w14:paraId="515C34D0" w14:textId="77777777" w:rsidR="00307988" w:rsidRDefault="00307988">
      <w:pPr>
        <w:spacing w:line="220" w:lineRule="auto"/>
        <w:rPr>
          <w:sz w:val="20"/>
        </w:rPr>
        <w:sectPr w:rsidR="00307988">
          <w:headerReference w:type="default" r:id="rId6"/>
          <w:footerReference w:type="default" r:id="rId7"/>
          <w:type w:val="continuous"/>
          <w:pgSz w:w="12240" w:h="15840"/>
          <w:pgMar w:top="1420" w:right="1320" w:bottom="1760" w:left="1220" w:header="684" w:footer="1565" w:gutter="0"/>
          <w:pgNumType w:start="1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2621"/>
        <w:gridCol w:w="1320"/>
        <w:gridCol w:w="960"/>
        <w:gridCol w:w="840"/>
        <w:gridCol w:w="840"/>
      </w:tblGrid>
      <w:tr w:rsidR="00307988" w14:paraId="517EDDB7" w14:textId="77777777">
        <w:trPr>
          <w:trHeight w:val="820"/>
        </w:trPr>
        <w:tc>
          <w:tcPr>
            <w:tcW w:w="2774" w:type="dxa"/>
            <w:shd w:val="clear" w:color="auto" w:fill="754F94"/>
          </w:tcPr>
          <w:p w14:paraId="5962F637" w14:textId="77777777" w:rsidR="00307988" w:rsidRDefault="00000E0B">
            <w:pPr>
              <w:pStyle w:val="TableParagraph"/>
              <w:spacing w:before="35"/>
              <w:ind w:left="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Strategy</w:t>
            </w:r>
          </w:p>
        </w:tc>
        <w:tc>
          <w:tcPr>
            <w:tcW w:w="2621" w:type="dxa"/>
            <w:shd w:val="clear" w:color="auto" w:fill="754F94"/>
          </w:tcPr>
          <w:p w14:paraId="448C6FFA" w14:textId="77777777" w:rsidR="00307988" w:rsidRDefault="00000E0B">
            <w:pPr>
              <w:pStyle w:val="TableParagraph"/>
              <w:spacing w:before="35"/>
              <w:ind w:left="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step</w:t>
            </w:r>
          </w:p>
        </w:tc>
        <w:tc>
          <w:tcPr>
            <w:tcW w:w="1320" w:type="dxa"/>
            <w:shd w:val="clear" w:color="auto" w:fill="754F94"/>
          </w:tcPr>
          <w:p w14:paraId="5AB0950C" w14:textId="77777777" w:rsidR="00307988" w:rsidRDefault="00000E0B">
            <w:pPr>
              <w:pStyle w:val="TableParagraph"/>
              <w:spacing w:line="220" w:lineRule="auto"/>
              <w:ind w:left="40" w:righ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Performance measure</w:t>
            </w:r>
          </w:p>
        </w:tc>
        <w:tc>
          <w:tcPr>
            <w:tcW w:w="960" w:type="dxa"/>
            <w:shd w:val="clear" w:color="auto" w:fill="754F94"/>
          </w:tcPr>
          <w:p w14:paraId="4352D549" w14:textId="10F6BC18" w:rsidR="00307988" w:rsidRDefault="00000E0B">
            <w:pPr>
              <w:pStyle w:val="TableParagraph"/>
              <w:spacing w:line="220" w:lineRule="auto"/>
              <w:ind w:left="40" w:right="2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Person responsible</w:t>
            </w:r>
          </w:p>
        </w:tc>
        <w:tc>
          <w:tcPr>
            <w:tcW w:w="840" w:type="dxa"/>
            <w:shd w:val="clear" w:color="auto" w:fill="754F94"/>
          </w:tcPr>
          <w:p w14:paraId="5BCD28E2" w14:textId="649A96D8" w:rsidR="00307988" w:rsidRDefault="00000E0B">
            <w:pPr>
              <w:pStyle w:val="TableParagraph"/>
              <w:spacing w:before="52" w:line="225" w:lineRule="auto"/>
              <w:ind w:left="40"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Estimated completion date</w:t>
            </w:r>
          </w:p>
        </w:tc>
        <w:tc>
          <w:tcPr>
            <w:tcW w:w="840" w:type="dxa"/>
            <w:shd w:val="clear" w:color="auto" w:fill="754F94"/>
          </w:tcPr>
          <w:p w14:paraId="68A65E5C" w14:textId="77777777" w:rsidR="00307988" w:rsidRDefault="00000E0B">
            <w:pPr>
              <w:pStyle w:val="TableParagraph"/>
              <w:spacing w:before="52" w:line="225" w:lineRule="auto"/>
              <w:ind w:left="40" w:right="1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Funding source</w:t>
            </w:r>
          </w:p>
        </w:tc>
      </w:tr>
      <w:tr w:rsidR="00307988" w14:paraId="12FF5411" w14:textId="77777777">
        <w:trPr>
          <w:trHeight w:val="4387"/>
        </w:trPr>
        <w:tc>
          <w:tcPr>
            <w:tcW w:w="2774" w:type="dxa"/>
          </w:tcPr>
          <w:p w14:paraId="0B0C9DB6" w14:textId="77777777" w:rsidR="00307988" w:rsidRDefault="00000E0B">
            <w:pPr>
              <w:pStyle w:val="TableParagraph"/>
              <w:spacing w:line="220" w:lineRule="auto"/>
              <w:ind w:left="282" w:right="800" w:hanging="2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2) Standards-aligned assessment and data analysis</w:t>
            </w:r>
          </w:p>
          <w:p w14:paraId="7E0AF5A0" w14:textId="77777777" w:rsidR="00307988" w:rsidRDefault="00000E0B">
            <w:pPr>
              <w:pStyle w:val="TableParagraph"/>
              <w:spacing w:before="58" w:line="220" w:lineRule="auto"/>
              <w:ind w:right="29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The district will support standards-aligned assessments and data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driven instructional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decisions.</w:t>
            </w:r>
          </w:p>
          <w:p w14:paraId="057E0945" w14:textId="77777777" w:rsidR="00307988" w:rsidRDefault="00000E0B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Benchmark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indicator</w:t>
            </w:r>
          </w:p>
          <w:p w14:paraId="4F363F35" w14:textId="1999CA2B" w:rsidR="00307988" w:rsidRDefault="00000E0B">
            <w:pPr>
              <w:pStyle w:val="TableParagraph"/>
              <w:spacing w:before="55" w:line="220" w:lineRule="auto"/>
              <w:ind w:right="90"/>
              <w:rPr>
                <w:sz w:val="20"/>
              </w:rPr>
            </w:pPr>
            <w:r>
              <w:rPr>
                <w:color w:val="231F20"/>
                <w:sz w:val="20"/>
              </w:rPr>
              <w:t>At least 80% of students in each major subgroup at each grade level will show a positive trajectory on district benchmarks administered three times per year.</w:t>
            </w:r>
          </w:p>
        </w:tc>
        <w:tc>
          <w:tcPr>
            <w:tcW w:w="2621" w:type="dxa"/>
          </w:tcPr>
          <w:p w14:paraId="6F23B55C" w14:textId="77777777" w:rsidR="00307988" w:rsidRDefault="00000E0B">
            <w:pPr>
              <w:pStyle w:val="TableParagraph"/>
              <w:spacing w:line="220" w:lineRule="auto"/>
              <w:ind w:right="68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Tracking progress of subgroups</w:t>
            </w:r>
          </w:p>
          <w:p w14:paraId="47F173D9" w14:textId="21F1A0EE" w:rsidR="00307988" w:rsidRDefault="00000E0B">
            <w:pPr>
              <w:pStyle w:val="TableParagraph"/>
              <w:spacing w:before="58" w:line="220" w:lineRule="auto"/>
              <w:ind w:right="49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Teachers will track progress of students in BHN, EL, SWD, and ED subgroups on benchmark data. Instructional coaches will be responsible for overseeing the analysis of data/student work for all subgroups during PLCs the week following the administration of the assessment. Teachers will develop</w:t>
            </w:r>
          </w:p>
          <w:p w14:paraId="14F61531" w14:textId="4DB788E0" w:rsidR="00307988" w:rsidRDefault="00000E0B">
            <w:pPr>
              <w:pStyle w:val="TableParagraph"/>
              <w:spacing w:before="0" w:line="22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a plan for reteaching of standards/skills to strengthen as well as sharing strategies and materials found effective.</w:t>
            </w:r>
          </w:p>
        </w:tc>
        <w:tc>
          <w:tcPr>
            <w:tcW w:w="1320" w:type="dxa"/>
          </w:tcPr>
          <w:p w14:paraId="3F97A59C" w14:textId="77777777" w:rsidR="00307988" w:rsidRDefault="0030798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7B91CFA" w14:textId="77777777" w:rsidR="00307988" w:rsidRDefault="00000E0B">
            <w:pPr>
              <w:pStyle w:val="TableParagraph"/>
              <w:spacing w:before="35"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ELA</w:t>
            </w:r>
          </w:p>
          <w:p w14:paraId="53996B5A" w14:textId="150ADEFB" w:rsidR="00307988" w:rsidRDefault="00000E0B">
            <w:pPr>
              <w:pStyle w:val="TableParagraph"/>
              <w:spacing w:before="5" w:line="220" w:lineRule="auto"/>
              <w:ind w:right="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teachers, instructional coaches, and </w:t>
            </w:r>
            <w:r>
              <w:rPr>
                <w:color w:val="231F20"/>
                <w:w w:val="95"/>
                <w:sz w:val="20"/>
              </w:rPr>
              <w:t>principals</w:t>
            </w:r>
          </w:p>
        </w:tc>
        <w:tc>
          <w:tcPr>
            <w:tcW w:w="840" w:type="dxa"/>
          </w:tcPr>
          <w:p w14:paraId="3FB82EF1" w14:textId="77777777" w:rsidR="00307988" w:rsidRDefault="00000E0B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04/2020</w:t>
            </w:r>
          </w:p>
        </w:tc>
        <w:tc>
          <w:tcPr>
            <w:tcW w:w="840" w:type="dxa"/>
          </w:tcPr>
          <w:p w14:paraId="17EDA5D3" w14:textId="77777777" w:rsidR="00307988" w:rsidRDefault="00000E0B">
            <w:pPr>
              <w:pStyle w:val="TableParagraph"/>
              <w:spacing w:line="220" w:lineRule="auto"/>
              <w:ind w:right="224"/>
              <w:rPr>
                <w:sz w:val="20"/>
              </w:rPr>
            </w:pPr>
            <w:r>
              <w:rPr>
                <w:color w:val="231F20"/>
                <w:sz w:val="20"/>
              </w:rPr>
              <w:t>Local/ State funds</w:t>
            </w:r>
          </w:p>
        </w:tc>
      </w:tr>
      <w:tr w:rsidR="00307988" w14:paraId="359F3DFA" w14:textId="77777777">
        <w:trPr>
          <w:trHeight w:val="6849"/>
        </w:trPr>
        <w:tc>
          <w:tcPr>
            <w:tcW w:w="2774" w:type="dxa"/>
          </w:tcPr>
          <w:p w14:paraId="6848BD6E" w14:textId="77777777" w:rsidR="00307988" w:rsidRDefault="00000E0B">
            <w:pPr>
              <w:pStyle w:val="TableParagraph"/>
              <w:spacing w:line="220" w:lineRule="auto"/>
              <w:ind w:left="282" w:right="394" w:hanging="2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3) Targeted interventions for subgroups</w:t>
            </w:r>
          </w:p>
          <w:p w14:paraId="49981A13" w14:textId="5D190259" w:rsidR="00307988" w:rsidRDefault="00000E0B">
            <w:pPr>
              <w:pStyle w:val="TableParagraph"/>
              <w:spacing w:before="58" w:line="220" w:lineRule="auto"/>
              <w:ind w:right="7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Provide academic interventions and other focused supplemental supports to improve achievement and close identified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gaps.</w:t>
            </w:r>
          </w:p>
          <w:p w14:paraId="6B2D2111" w14:textId="77777777" w:rsidR="00307988" w:rsidRDefault="00000E0B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Benchmark indicator</w:t>
            </w:r>
          </w:p>
          <w:p w14:paraId="3D5A8508" w14:textId="77777777" w:rsidR="00307988" w:rsidRDefault="00000E0B">
            <w:pPr>
              <w:pStyle w:val="TableParagraph"/>
              <w:spacing w:before="55" w:line="220" w:lineRule="auto"/>
              <w:ind w:right="184"/>
              <w:rPr>
                <w:sz w:val="20"/>
              </w:rPr>
            </w:pPr>
            <w:r>
              <w:rPr>
                <w:color w:val="231F20"/>
                <w:sz w:val="20"/>
              </w:rPr>
              <w:t>At least 80% of Tiers II and III students will show a positive trajectory on 2019–20 district benchmarks administered three times per year. Our district will increase the percentage of students</w:t>
            </w:r>
          </w:p>
          <w:p w14:paraId="54AE677C" w14:textId="77777777" w:rsidR="00307988" w:rsidRDefault="00000E0B">
            <w:pPr>
              <w:pStyle w:val="TableParagraph"/>
              <w:spacing w:before="0" w:line="22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(Ages 3–5) by 5% receiving the majority of special education services in a regular early childhood program.</w:t>
            </w:r>
          </w:p>
        </w:tc>
        <w:tc>
          <w:tcPr>
            <w:tcW w:w="2621" w:type="dxa"/>
          </w:tcPr>
          <w:p w14:paraId="41C4E93F" w14:textId="77777777" w:rsidR="00307988" w:rsidRDefault="00000E0B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RtI2</w:t>
            </w:r>
          </w:p>
          <w:p w14:paraId="3A34F0A0" w14:textId="6429F488" w:rsidR="00307988" w:rsidRDefault="00000E0B">
            <w:pPr>
              <w:pStyle w:val="TableParagraph"/>
              <w:spacing w:before="65" w:line="220" w:lineRule="auto"/>
              <w:ind w:right="10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 xml:space="preserve">Prior to school </w:t>
            </w:r>
            <w:r>
              <w:rPr>
                <w:color w:val="231F20"/>
                <w:spacing w:val="2"/>
                <w:sz w:val="20"/>
              </w:rPr>
              <w:t>be</w:t>
            </w:r>
            <w:r>
              <w:rPr>
                <w:color w:val="231F20"/>
                <w:sz w:val="20"/>
              </w:rPr>
              <w:t xml:space="preserve">ginning, the </w:t>
            </w:r>
            <w:proofErr w:type="spellStart"/>
            <w:r>
              <w:rPr>
                <w:color w:val="231F20"/>
                <w:sz w:val="20"/>
              </w:rPr>
              <w:t>RtI</w:t>
            </w:r>
            <w:proofErr w:type="spellEnd"/>
            <w:r>
              <w:rPr>
                <w:color w:val="231F20"/>
                <w:sz w:val="20"/>
              </w:rPr>
              <w:t xml:space="preserve"> district team will review data, scheduling, interventions, paperwork, personnel, and practices to determine areas of strength and areas to strengthen. The district will provide and train Title 1 teachers to deliver targeted Tier II/III instruction using research-based strategies and materials. Students identified as Tier II or III will be progressed monitored per the district </w:t>
            </w:r>
            <w:r>
              <w:rPr>
                <w:color w:val="231F20"/>
                <w:spacing w:val="-3"/>
                <w:sz w:val="20"/>
              </w:rPr>
              <w:t xml:space="preserve">PM </w:t>
            </w:r>
            <w:r>
              <w:rPr>
                <w:color w:val="231F20"/>
                <w:sz w:val="20"/>
              </w:rPr>
              <w:t xml:space="preserve">calendar with data documented in </w:t>
            </w:r>
            <w:proofErr w:type="spellStart"/>
            <w:r>
              <w:rPr>
                <w:color w:val="231F20"/>
                <w:sz w:val="20"/>
              </w:rPr>
              <w:t>RtI</w:t>
            </w:r>
            <w:proofErr w:type="spellEnd"/>
            <w:r>
              <w:rPr>
                <w:color w:val="231F20"/>
                <w:sz w:val="20"/>
              </w:rPr>
              <w:t xml:space="preserve"> Tracking digital workbook. Data will be analyzed every four data points to determine if changes are needed. Instructional coaches will provide support to Tier II and III teachers through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co-</w:t>
            </w:r>
          </w:p>
          <w:p w14:paraId="1C0002B1" w14:textId="77777777" w:rsidR="00307988" w:rsidRDefault="00000E0B">
            <w:pPr>
              <w:pStyle w:val="TableParagraph"/>
              <w:spacing w:before="0" w:line="196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planning, modeling, and data</w:t>
            </w:r>
          </w:p>
          <w:p w14:paraId="47740E9A" w14:textId="3896EB3C" w:rsidR="00307988" w:rsidRDefault="00000E0B">
            <w:pPr>
              <w:pStyle w:val="TableParagraph"/>
              <w:spacing w:before="5" w:line="220" w:lineRule="auto"/>
              <w:ind w:right="19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analysis. Fidelity monitoring will be conducted by principal and/or designee per the RtI2 guidelines.</w:t>
            </w:r>
          </w:p>
        </w:tc>
        <w:tc>
          <w:tcPr>
            <w:tcW w:w="1320" w:type="dxa"/>
          </w:tcPr>
          <w:p w14:paraId="4A60FCAA" w14:textId="10CB30DF" w:rsidR="00307988" w:rsidRDefault="00000E0B">
            <w:pPr>
              <w:pStyle w:val="TableParagraph"/>
              <w:spacing w:line="220" w:lineRule="auto"/>
              <w:ind w:right="129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The percentage of students in our district identified</w:t>
            </w:r>
          </w:p>
          <w:p w14:paraId="05C9F3FB" w14:textId="77777777" w:rsidR="00307988" w:rsidRDefault="00000E0B">
            <w:pPr>
              <w:pStyle w:val="TableParagraph"/>
              <w:spacing w:before="0" w:line="220" w:lineRule="auto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as Tier II or Tier III will decrease over the 2019–20 school year in accordance with our district’s </w:t>
            </w:r>
            <w:proofErr w:type="spellStart"/>
            <w:r>
              <w:rPr>
                <w:color w:val="231F20"/>
                <w:sz w:val="20"/>
              </w:rPr>
              <w:t>RtI</w:t>
            </w:r>
            <w:proofErr w:type="spellEnd"/>
            <w:r>
              <w:rPr>
                <w:color w:val="231F20"/>
                <w:sz w:val="20"/>
              </w:rPr>
              <w:t xml:space="preserve"> performance goals.</w:t>
            </w:r>
          </w:p>
        </w:tc>
        <w:tc>
          <w:tcPr>
            <w:tcW w:w="960" w:type="dxa"/>
          </w:tcPr>
          <w:p w14:paraId="2FA19F14" w14:textId="1B39852C" w:rsidR="00307988" w:rsidRDefault="00000E0B">
            <w:pPr>
              <w:pStyle w:val="TableParagraph"/>
              <w:spacing w:line="220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District supervisors, Principals, and Instructional Coaches</w:t>
            </w:r>
          </w:p>
        </w:tc>
        <w:tc>
          <w:tcPr>
            <w:tcW w:w="840" w:type="dxa"/>
          </w:tcPr>
          <w:p w14:paraId="66609343" w14:textId="77777777" w:rsidR="00307988" w:rsidRDefault="00000E0B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5/2020</w:t>
            </w:r>
          </w:p>
        </w:tc>
        <w:tc>
          <w:tcPr>
            <w:tcW w:w="840" w:type="dxa"/>
          </w:tcPr>
          <w:p w14:paraId="21FE58BE" w14:textId="77777777" w:rsidR="00307988" w:rsidRDefault="00000E0B">
            <w:pPr>
              <w:pStyle w:val="TableParagraph"/>
              <w:spacing w:line="220" w:lineRule="auto"/>
              <w:ind w:right="224"/>
              <w:rPr>
                <w:sz w:val="20"/>
              </w:rPr>
            </w:pPr>
            <w:r>
              <w:rPr>
                <w:color w:val="231F20"/>
                <w:sz w:val="20"/>
              </w:rPr>
              <w:t>Local/ State funds</w:t>
            </w:r>
          </w:p>
        </w:tc>
      </w:tr>
    </w:tbl>
    <w:p w14:paraId="39196834" w14:textId="77777777" w:rsidR="00307988" w:rsidRDefault="00307988">
      <w:pPr>
        <w:spacing w:line="220" w:lineRule="auto"/>
        <w:rPr>
          <w:sz w:val="20"/>
        </w:rPr>
        <w:sectPr w:rsidR="00307988">
          <w:pgSz w:w="12240" w:h="15840"/>
          <w:pgMar w:top="1420" w:right="1320" w:bottom="1760" w:left="1220" w:header="684" w:footer="1565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2621"/>
        <w:gridCol w:w="1320"/>
        <w:gridCol w:w="960"/>
        <w:gridCol w:w="840"/>
        <w:gridCol w:w="840"/>
      </w:tblGrid>
      <w:tr w:rsidR="00307988" w14:paraId="79CDEC2F" w14:textId="77777777">
        <w:trPr>
          <w:trHeight w:val="950"/>
        </w:trPr>
        <w:tc>
          <w:tcPr>
            <w:tcW w:w="2774" w:type="dxa"/>
            <w:shd w:val="clear" w:color="auto" w:fill="754F94"/>
          </w:tcPr>
          <w:p w14:paraId="1EBF5834" w14:textId="77777777" w:rsidR="00307988" w:rsidRDefault="00000E0B">
            <w:pPr>
              <w:pStyle w:val="TableParagraph"/>
              <w:spacing w:before="35"/>
              <w:ind w:left="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Strategy</w:t>
            </w:r>
          </w:p>
        </w:tc>
        <w:tc>
          <w:tcPr>
            <w:tcW w:w="2621" w:type="dxa"/>
            <w:shd w:val="clear" w:color="auto" w:fill="754F94"/>
          </w:tcPr>
          <w:p w14:paraId="2DA7770B" w14:textId="77777777" w:rsidR="00307988" w:rsidRDefault="00000E0B">
            <w:pPr>
              <w:pStyle w:val="TableParagraph"/>
              <w:spacing w:before="35"/>
              <w:ind w:left="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step</w:t>
            </w:r>
          </w:p>
        </w:tc>
        <w:tc>
          <w:tcPr>
            <w:tcW w:w="1320" w:type="dxa"/>
            <w:shd w:val="clear" w:color="auto" w:fill="754F94"/>
          </w:tcPr>
          <w:p w14:paraId="0C8EA4A9" w14:textId="77777777" w:rsidR="00307988" w:rsidRDefault="00000E0B">
            <w:pPr>
              <w:pStyle w:val="TableParagraph"/>
              <w:spacing w:line="220" w:lineRule="auto"/>
              <w:ind w:left="40" w:righ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Performance measure</w:t>
            </w:r>
          </w:p>
        </w:tc>
        <w:tc>
          <w:tcPr>
            <w:tcW w:w="960" w:type="dxa"/>
            <w:shd w:val="clear" w:color="auto" w:fill="754F94"/>
          </w:tcPr>
          <w:p w14:paraId="574F9BB2" w14:textId="08B6B75D" w:rsidR="00307988" w:rsidRDefault="00000E0B">
            <w:pPr>
              <w:pStyle w:val="TableParagraph"/>
              <w:spacing w:line="220" w:lineRule="auto"/>
              <w:ind w:left="40" w:right="2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Person responsible</w:t>
            </w:r>
          </w:p>
        </w:tc>
        <w:tc>
          <w:tcPr>
            <w:tcW w:w="840" w:type="dxa"/>
            <w:shd w:val="clear" w:color="auto" w:fill="754F94"/>
          </w:tcPr>
          <w:p w14:paraId="2414CD43" w14:textId="64A51E1C" w:rsidR="00307988" w:rsidRDefault="00000E0B">
            <w:pPr>
              <w:pStyle w:val="TableParagraph"/>
              <w:spacing w:before="52" w:line="225" w:lineRule="auto"/>
              <w:ind w:left="40"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Estimated completion date</w:t>
            </w:r>
          </w:p>
        </w:tc>
        <w:tc>
          <w:tcPr>
            <w:tcW w:w="840" w:type="dxa"/>
            <w:shd w:val="clear" w:color="auto" w:fill="754F94"/>
          </w:tcPr>
          <w:p w14:paraId="4D1355C3" w14:textId="77777777" w:rsidR="00307988" w:rsidRDefault="00000E0B">
            <w:pPr>
              <w:pStyle w:val="TableParagraph"/>
              <w:spacing w:before="52" w:line="225" w:lineRule="auto"/>
              <w:ind w:left="40" w:right="1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Funding source</w:t>
            </w:r>
          </w:p>
        </w:tc>
      </w:tr>
      <w:tr w:rsidR="00307988" w14:paraId="0D751B1D" w14:textId="77777777">
        <w:trPr>
          <w:trHeight w:val="3835"/>
        </w:trPr>
        <w:tc>
          <w:tcPr>
            <w:tcW w:w="2774" w:type="dxa"/>
          </w:tcPr>
          <w:p w14:paraId="6BEAB8D0" w14:textId="77777777" w:rsidR="00307988" w:rsidRDefault="00000E0B">
            <w:pPr>
              <w:pStyle w:val="TableParagraph"/>
              <w:spacing w:line="220" w:lineRule="auto"/>
              <w:ind w:left="322" w:right="597" w:hanging="24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4) Developing effective teachers</w:t>
            </w:r>
          </w:p>
          <w:p w14:paraId="26C0F994" w14:textId="77777777" w:rsidR="00307988" w:rsidRDefault="00000E0B">
            <w:pPr>
              <w:pStyle w:val="TableParagraph"/>
              <w:spacing w:before="138" w:line="220" w:lineRule="auto"/>
              <w:ind w:right="87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The district will provide ongoing</w:t>
            </w:r>
          </w:p>
          <w:p w14:paraId="5433598A" w14:textId="77777777" w:rsidR="00307988" w:rsidRDefault="00000E0B">
            <w:pPr>
              <w:pStyle w:val="TableParagraph"/>
              <w:spacing w:before="0" w:line="22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differentiated professional development to support teachers in being highly effective.</w:t>
            </w:r>
          </w:p>
        </w:tc>
        <w:tc>
          <w:tcPr>
            <w:tcW w:w="2621" w:type="dxa"/>
          </w:tcPr>
          <w:p w14:paraId="50FED481" w14:textId="77777777" w:rsidR="00307988" w:rsidRDefault="00000E0B">
            <w:pPr>
              <w:pStyle w:val="TableParagraph"/>
              <w:spacing w:line="22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Embedded professional development</w:t>
            </w:r>
          </w:p>
          <w:p w14:paraId="5B2B3CBE" w14:textId="5BAB8A80" w:rsidR="00307988" w:rsidRDefault="00000E0B">
            <w:pPr>
              <w:pStyle w:val="TableParagraph"/>
              <w:spacing w:before="138" w:line="220" w:lineRule="auto"/>
              <w:ind w:right="11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 xml:space="preserve">Teachers will have daily common planning time as well as weekly PLCs led by instructional coaches. </w:t>
            </w:r>
            <w:r>
              <w:rPr>
                <w:color w:val="231F20"/>
                <w:spacing w:val="-3"/>
                <w:sz w:val="20"/>
              </w:rPr>
              <w:t>Teach</w:t>
            </w:r>
            <w:r>
              <w:rPr>
                <w:color w:val="231F20"/>
                <w:sz w:val="20"/>
              </w:rPr>
              <w:t>ers will also be supported through in-class coaching, modeling, observations of highly effective teachers, and co-planning with the instructional coach and grade/ content leader. Principals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 participate in weekly administrative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PLCs.</w:t>
            </w:r>
          </w:p>
        </w:tc>
        <w:tc>
          <w:tcPr>
            <w:tcW w:w="1320" w:type="dxa"/>
          </w:tcPr>
          <w:p w14:paraId="24C623BC" w14:textId="4F2EEC7B" w:rsidR="00307988" w:rsidRDefault="00000E0B">
            <w:pPr>
              <w:pStyle w:val="TableParagraph"/>
              <w:spacing w:line="220" w:lineRule="auto"/>
              <w:ind w:right="4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85% of teacher average observation scores on relevant indicators shall be greater or equal to 3.5 on a 5-point scale.</w:t>
            </w:r>
          </w:p>
        </w:tc>
        <w:tc>
          <w:tcPr>
            <w:tcW w:w="960" w:type="dxa"/>
          </w:tcPr>
          <w:p w14:paraId="6055AD8D" w14:textId="7CFC88F6" w:rsidR="00307988" w:rsidRDefault="00000E0B">
            <w:pPr>
              <w:pStyle w:val="TableParagraph"/>
              <w:spacing w:line="220" w:lineRule="auto"/>
              <w:ind w:right="194"/>
              <w:rPr>
                <w:sz w:val="20"/>
              </w:rPr>
            </w:pPr>
            <w:r>
              <w:rPr>
                <w:color w:val="231F20"/>
                <w:sz w:val="20"/>
              </w:rPr>
              <w:t>Instructional coaches and principals</w:t>
            </w:r>
          </w:p>
        </w:tc>
        <w:tc>
          <w:tcPr>
            <w:tcW w:w="840" w:type="dxa"/>
          </w:tcPr>
          <w:p w14:paraId="51EFD449" w14:textId="77777777" w:rsidR="00307988" w:rsidRDefault="00000E0B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04/2020</w:t>
            </w:r>
          </w:p>
        </w:tc>
        <w:tc>
          <w:tcPr>
            <w:tcW w:w="840" w:type="dxa"/>
          </w:tcPr>
          <w:p w14:paraId="78AFDB18" w14:textId="77777777" w:rsidR="00307988" w:rsidRDefault="00000E0B">
            <w:pPr>
              <w:pStyle w:val="TableParagraph"/>
              <w:spacing w:line="220" w:lineRule="auto"/>
              <w:ind w:right="109"/>
              <w:rPr>
                <w:sz w:val="20"/>
              </w:rPr>
            </w:pPr>
            <w:r>
              <w:rPr>
                <w:color w:val="231F20"/>
                <w:sz w:val="20"/>
              </w:rPr>
              <w:t>Local/ State funds and Title IIA</w:t>
            </w:r>
          </w:p>
        </w:tc>
      </w:tr>
      <w:tr w:rsidR="00307988" w14:paraId="12FC2B15" w14:textId="77777777">
        <w:trPr>
          <w:trHeight w:val="4305"/>
        </w:trPr>
        <w:tc>
          <w:tcPr>
            <w:tcW w:w="2774" w:type="dxa"/>
          </w:tcPr>
          <w:p w14:paraId="609DD085" w14:textId="77777777" w:rsidR="00307988" w:rsidRDefault="00000E0B">
            <w:pPr>
              <w:pStyle w:val="TableParagraph"/>
              <w:spacing w:line="220" w:lineRule="auto"/>
              <w:ind w:left="282" w:right="596" w:hanging="2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5) Developing effective leaders</w:t>
            </w:r>
          </w:p>
          <w:p w14:paraId="215565DF" w14:textId="77777777" w:rsidR="00307988" w:rsidRDefault="00000E0B">
            <w:pPr>
              <w:pStyle w:val="TableParagraph"/>
              <w:spacing w:before="138" w:line="220" w:lineRule="auto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The district will provide ongoing differentiated</w:t>
            </w:r>
          </w:p>
          <w:p w14:paraId="6431D089" w14:textId="77777777" w:rsidR="00307988" w:rsidRDefault="00000E0B">
            <w:pPr>
              <w:pStyle w:val="TableParagraph"/>
              <w:spacing w:before="139" w:line="220" w:lineRule="auto"/>
              <w:ind w:right="71"/>
              <w:rPr>
                <w:sz w:val="20"/>
              </w:rPr>
            </w:pPr>
            <w:r>
              <w:rPr>
                <w:color w:val="231F20"/>
                <w:sz w:val="20"/>
              </w:rPr>
              <w:t>professional development to support leaders in being highly effective.</w:t>
            </w:r>
          </w:p>
        </w:tc>
        <w:tc>
          <w:tcPr>
            <w:tcW w:w="2621" w:type="dxa"/>
          </w:tcPr>
          <w:p w14:paraId="6619FE45" w14:textId="77777777" w:rsidR="00307988" w:rsidRDefault="00000E0B">
            <w:pPr>
              <w:pStyle w:val="TableParagraph"/>
              <w:spacing w:line="22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Embedded professional development</w:t>
            </w:r>
          </w:p>
          <w:p w14:paraId="0E3C897E" w14:textId="6434BAB1" w:rsidR="00307988" w:rsidRDefault="00000E0B">
            <w:pPr>
              <w:pStyle w:val="TableParagraph"/>
              <w:spacing w:before="138" w:line="220" w:lineRule="auto"/>
              <w:ind w:right="7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Principals will utilize district- and building</w:t>
            </w:r>
            <w:r w:rsidR="005B59DC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level instructional coaches and teacher leaders to provide all teachers with content-based instructional feedback both within and outside the formal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evaluation model. Principals will participate in monthly district PD sessions to increase their own knowledge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</w:p>
          <w:p w14:paraId="437353E1" w14:textId="6E779B4D" w:rsidR="00307988" w:rsidRDefault="00000E0B">
            <w:pPr>
              <w:pStyle w:val="TableParagraph"/>
              <w:spacing w:before="0" w:line="220" w:lineRule="auto"/>
              <w:ind w:right="7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standards-aligned instruction and high-quality instructional materials.</w:t>
            </w:r>
          </w:p>
        </w:tc>
        <w:tc>
          <w:tcPr>
            <w:tcW w:w="1320" w:type="dxa"/>
          </w:tcPr>
          <w:p w14:paraId="3A65C5EA" w14:textId="7D8DD979" w:rsidR="00307988" w:rsidRDefault="00000E0B">
            <w:pPr>
              <w:pStyle w:val="TableParagraph"/>
              <w:spacing w:line="220" w:lineRule="auto"/>
              <w:ind w:right="6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Example: </w:t>
            </w:r>
            <w:r>
              <w:rPr>
                <w:color w:val="231F20"/>
                <w:spacing w:val="-8"/>
                <w:sz w:val="20"/>
              </w:rPr>
              <w:t xml:space="preserve">85% </w:t>
            </w:r>
            <w:r>
              <w:rPr>
                <w:color w:val="231F20"/>
                <w:sz w:val="20"/>
              </w:rPr>
              <w:t>of teacher and principal observation scores on relevant indicators shall be greater or equal to 3.5 on a 5-point scale.</w:t>
            </w:r>
          </w:p>
        </w:tc>
        <w:tc>
          <w:tcPr>
            <w:tcW w:w="960" w:type="dxa"/>
          </w:tcPr>
          <w:p w14:paraId="6D66806A" w14:textId="4639D1B7" w:rsidR="00307988" w:rsidRDefault="00000E0B">
            <w:pPr>
              <w:pStyle w:val="TableParagraph"/>
              <w:spacing w:line="220" w:lineRule="auto"/>
              <w:ind w:right="169"/>
              <w:rPr>
                <w:sz w:val="20"/>
              </w:rPr>
            </w:pPr>
            <w:r>
              <w:rPr>
                <w:color w:val="231F20"/>
                <w:sz w:val="20"/>
              </w:rPr>
              <w:t>District supervisors and instructional coaches</w:t>
            </w:r>
          </w:p>
        </w:tc>
        <w:tc>
          <w:tcPr>
            <w:tcW w:w="840" w:type="dxa"/>
          </w:tcPr>
          <w:p w14:paraId="10595D9E" w14:textId="77777777" w:rsidR="00307988" w:rsidRDefault="00000E0B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05/2020</w:t>
            </w:r>
          </w:p>
        </w:tc>
        <w:tc>
          <w:tcPr>
            <w:tcW w:w="840" w:type="dxa"/>
          </w:tcPr>
          <w:p w14:paraId="4F693AA8" w14:textId="77777777" w:rsidR="00307988" w:rsidRDefault="00000E0B">
            <w:pPr>
              <w:pStyle w:val="TableParagraph"/>
              <w:spacing w:line="220" w:lineRule="auto"/>
              <w:ind w:right="109"/>
              <w:rPr>
                <w:sz w:val="20"/>
              </w:rPr>
            </w:pPr>
            <w:r>
              <w:rPr>
                <w:color w:val="231F20"/>
                <w:sz w:val="20"/>
              </w:rPr>
              <w:t>Local/ State funds and Title IIA</w:t>
            </w:r>
          </w:p>
        </w:tc>
      </w:tr>
    </w:tbl>
    <w:p w14:paraId="6F0D7541" w14:textId="77777777" w:rsidR="00000E0B" w:rsidRDefault="00000E0B"/>
    <w:sectPr w:rsidR="00000E0B">
      <w:pgSz w:w="12240" w:h="15840"/>
      <w:pgMar w:top="1420" w:right="1320" w:bottom="1760" w:left="1220" w:header="684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7A6F2" w14:textId="77777777" w:rsidR="00A52BAF" w:rsidRDefault="00A52BAF">
      <w:r>
        <w:separator/>
      </w:r>
    </w:p>
  </w:endnote>
  <w:endnote w:type="continuationSeparator" w:id="0">
    <w:p w14:paraId="4EAAD076" w14:textId="77777777" w:rsidR="00A52BAF" w:rsidRDefault="00A5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3FF" w14:textId="77777777" w:rsidR="00307988" w:rsidRDefault="00000E0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3696" behindDoc="1" locked="0" layoutInCell="1" allowOverlap="1" wp14:anchorId="15622E90" wp14:editId="72A103A1">
          <wp:simplePos x="0" y="0"/>
          <wp:positionH relativeFrom="page">
            <wp:posOffset>3606800</wp:posOffset>
          </wp:positionH>
          <wp:positionV relativeFrom="page">
            <wp:posOffset>8952483</wp:posOffset>
          </wp:positionV>
          <wp:extent cx="1523999" cy="425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2BAF">
      <w:pict w14:anchorId="261535F8">
        <v:line id="_x0000_s1028" alt="" style="position:absolute;z-index:-15862272;mso-wrap-edited:f;mso-width-percent:0;mso-height-percent:0;mso-position-horizontal-relative:page;mso-position-vertical-relative:page;mso-width-percent:0;mso-height-percent:0" from="1in,700pt" to="540.15pt,700pt" strokecolor="#00856f" strokeweight=".5pt">
          <w10:wrap anchorx="page" anchory="page"/>
        </v:line>
      </w:pict>
    </w:r>
    <w:r w:rsidR="00A52BAF">
      <w:pict w14:anchorId="0056705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71pt;margin-top:725pt;width:176.9pt;height:22.85pt;z-index:-15861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D1AD7A7" w14:textId="1B072F9D" w:rsidR="00307988" w:rsidRDefault="00000E0B">
                <w:pPr>
                  <w:spacing w:before="32" w:line="223" w:lineRule="auto"/>
                  <w:ind w:left="20" w:right="7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 xml:space="preserve">Professional Learning State and District </w:t>
                </w:r>
                <w:r w:rsidR="001531EA">
                  <w:rPr>
                    <w:color w:val="231F20"/>
                    <w:spacing w:val="-4"/>
                    <w:sz w:val="18"/>
                  </w:rPr>
                  <w:t>Planner</w:t>
                </w:r>
                <w:r>
                  <w:rPr>
                    <w:color w:val="231F20"/>
                    <w:spacing w:val="-4"/>
                    <w:sz w:val="18"/>
                  </w:rPr>
                  <w:t xml:space="preserve">: </w:t>
                </w:r>
                <w:r>
                  <w:rPr>
                    <w:color w:val="58595B"/>
                    <w:sz w:val="18"/>
                  </w:rPr>
                  <w:t>The Title IIA Equity Multiplier</w:t>
                </w:r>
              </w:p>
            </w:txbxContent>
          </v:textbox>
          <w10:wrap anchorx="page" anchory="page"/>
        </v:shape>
      </w:pict>
    </w:r>
    <w:r w:rsidR="00A52BAF">
      <w:pict w14:anchorId="0F3BA3B8">
        <v:shape id="_x0000_s1026" type="#_x0000_t202" alt="" style="position:absolute;margin-left:446.5pt;margin-top:734.6pt;width:95.05pt;height:12.85pt;z-index:-158612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CD3662C" w14:textId="77777777" w:rsidR="00307988" w:rsidRDefault="00000E0B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essa.learningforward.org</w:t>
                </w:r>
              </w:p>
            </w:txbxContent>
          </v:textbox>
          <w10:wrap anchorx="page" anchory="page"/>
        </v:shape>
      </w:pict>
    </w:r>
    <w:r w:rsidR="00A52BAF">
      <w:pict w14:anchorId="0F64342F">
        <v:shape id="_x0000_s1025" type="#_x0000_t202" alt="" style="position:absolute;margin-left:282.9pt;margin-top:736.5pt;width:122.95pt;height:10.1pt;z-index:-158607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1F55734" w14:textId="77777777" w:rsidR="00307988" w:rsidRDefault="00000E0B">
                <w:pPr>
                  <w:spacing w:before="24"/>
                  <w:ind w:left="20"/>
                  <w:rPr>
                    <w:sz w:val="13"/>
                  </w:rPr>
                </w:pPr>
                <w:r>
                  <w:rPr>
                    <w:color w:val="231F20"/>
                    <w:w w:val="105"/>
                    <w:sz w:val="13"/>
                  </w:rPr>
                  <w:t>THE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PROFESSIONAL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LEARNING</w:t>
                </w:r>
                <w:r>
                  <w:rPr>
                    <w:color w:val="231F20"/>
                    <w:spacing w:val="-16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ASSOCIATION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888F0" w14:textId="77777777" w:rsidR="00A52BAF" w:rsidRDefault="00A52BAF">
      <w:r>
        <w:separator/>
      </w:r>
    </w:p>
  </w:footnote>
  <w:footnote w:type="continuationSeparator" w:id="0">
    <w:p w14:paraId="4FC00B45" w14:textId="77777777" w:rsidR="00A52BAF" w:rsidRDefault="00A5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67F3" w14:textId="77777777" w:rsidR="00307988" w:rsidRDefault="00A52BAF">
    <w:pPr>
      <w:pStyle w:val="BodyText"/>
      <w:spacing w:line="14" w:lineRule="auto"/>
      <w:rPr>
        <w:sz w:val="20"/>
      </w:rPr>
    </w:pPr>
    <w:r>
      <w:pict w14:anchorId="4260805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208.3pt;margin-top:33.2pt;width:196.45pt;height:12.85pt;z-index:-158632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BFA483D" w14:textId="77777777" w:rsidR="00307988" w:rsidRDefault="00000E0B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 xml:space="preserve">SEA Stage 4, </w:t>
                </w:r>
                <w:r>
                  <w:rPr>
                    <w:color w:val="231F20"/>
                    <w:spacing w:val="-4"/>
                    <w:sz w:val="18"/>
                  </w:rPr>
                  <w:t xml:space="preserve">Tool </w:t>
                </w:r>
                <w:r>
                  <w:rPr>
                    <w:color w:val="231F20"/>
                    <w:sz w:val="18"/>
                  </w:rPr>
                  <w:t xml:space="preserve">4.1: Signaling state priorities,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31F20"/>
                    <w:sz w:val="18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988"/>
    <w:rsid w:val="00000E0B"/>
    <w:rsid w:val="001531EA"/>
    <w:rsid w:val="00307988"/>
    <w:rsid w:val="00311C81"/>
    <w:rsid w:val="005B59DC"/>
    <w:rsid w:val="00604FDC"/>
    <w:rsid w:val="00A52BAF"/>
    <w:rsid w:val="00D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66839"/>
  <w15:docId w15:val="{8845DF79-AC93-A046-81F8-A714516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2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80"/>
    </w:pPr>
  </w:style>
  <w:style w:type="paragraph" w:styleId="Header">
    <w:name w:val="header"/>
    <w:basedOn w:val="Normal"/>
    <w:link w:val="HeaderChar"/>
    <w:uiPriority w:val="99"/>
    <w:unhideWhenUsed/>
    <w:rsid w:val="00153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E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153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EA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6</cp:revision>
  <dcterms:created xsi:type="dcterms:W3CDTF">2020-09-28T16:59:00Z</dcterms:created>
  <dcterms:modified xsi:type="dcterms:W3CDTF">2020-10-06T09:19:00Z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