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853E3" w14:textId="77777777" w:rsidR="00D775FE" w:rsidRPr="00EF742E" w:rsidRDefault="004E5F7B" w:rsidP="00EF742E">
      <w:pPr>
        <w:pStyle w:val="NoSpacing"/>
        <w:ind w:left="2880"/>
        <w:rPr>
          <w:sz w:val="18"/>
          <w:szCs w:val="18"/>
        </w:rPr>
      </w:pPr>
      <w:r w:rsidRPr="00EF742E">
        <w:rPr>
          <w:sz w:val="18"/>
          <w:szCs w:val="18"/>
        </w:rPr>
        <w:t>SEA Stage 1, Tool 1.1: Building a shared vision</w:t>
      </w:r>
    </w:p>
    <w:p w14:paraId="5C76EADA" w14:textId="77777777" w:rsidR="00D775FE" w:rsidRDefault="00D775FE">
      <w:pPr>
        <w:pStyle w:val="BodyText"/>
        <w:ind w:firstLine="0"/>
        <w:rPr>
          <w:sz w:val="20"/>
        </w:rPr>
      </w:pPr>
    </w:p>
    <w:p w14:paraId="591CA0A9" w14:textId="77777777" w:rsidR="00D775FE" w:rsidRDefault="00D775FE">
      <w:pPr>
        <w:pStyle w:val="BodyText"/>
        <w:spacing w:before="5" w:after="1"/>
        <w:ind w:firstLine="0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3984"/>
      </w:tblGrid>
      <w:tr w:rsidR="00D775FE" w:rsidRPr="00EF742E" w14:paraId="7D990C1E" w14:textId="77777777">
        <w:trPr>
          <w:trHeight w:val="446"/>
        </w:trPr>
        <w:tc>
          <w:tcPr>
            <w:tcW w:w="2241" w:type="dxa"/>
          </w:tcPr>
          <w:p w14:paraId="3A4C49B6" w14:textId="77777777" w:rsidR="00D775FE" w:rsidRPr="00EF742E" w:rsidRDefault="004E5F7B" w:rsidP="00EF742E">
            <w:pPr>
              <w:pStyle w:val="NoSpacing"/>
              <w:rPr>
                <w:sz w:val="36"/>
                <w:szCs w:val="36"/>
              </w:rPr>
            </w:pPr>
            <w:r w:rsidRPr="00EF742E">
              <w:rPr>
                <w:spacing w:val="7"/>
                <w:sz w:val="36"/>
                <w:szCs w:val="36"/>
                <w:shd w:val="clear" w:color="auto" w:fill="902E33"/>
              </w:rPr>
              <w:t xml:space="preserve"> </w:t>
            </w:r>
            <w:r w:rsidRPr="00EF742E">
              <w:rPr>
                <w:sz w:val="36"/>
                <w:szCs w:val="36"/>
                <w:shd w:val="clear" w:color="auto" w:fill="902E33"/>
              </w:rPr>
              <w:t xml:space="preserve">SEA </w:t>
            </w:r>
            <w:r w:rsidRPr="00EF742E">
              <w:rPr>
                <w:spacing w:val="-8"/>
                <w:sz w:val="36"/>
                <w:szCs w:val="36"/>
                <w:shd w:val="clear" w:color="auto" w:fill="902E33"/>
              </w:rPr>
              <w:t>Tool</w:t>
            </w:r>
            <w:r w:rsidRPr="00EF742E">
              <w:rPr>
                <w:spacing w:val="-14"/>
                <w:sz w:val="36"/>
                <w:szCs w:val="36"/>
                <w:shd w:val="clear" w:color="auto" w:fill="902E33"/>
              </w:rPr>
              <w:t xml:space="preserve"> </w:t>
            </w:r>
            <w:r w:rsidRPr="00EF742E">
              <w:rPr>
                <w:sz w:val="36"/>
                <w:szCs w:val="36"/>
                <w:shd w:val="clear" w:color="auto" w:fill="902E33"/>
              </w:rPr>
              <w:t>1.1</w:t>
            </w:r>
            <w:r w:rsidRPr="00EF742E">
              <w:rPr>
                <w:spacing w:val="-7"/>
                <w:sz w:val="36"/>
                <w:szCs w:val="36"/>
                <w:shd w:val="clear" w:color="auto" w:fill="902E33"/>
              </w:rPr>
              <w:t xml:space="preserve"> </w:t>
            </w:r>
          </w:p>
        </w:tc>
        <w:tc>
          <w:tcPr>
            <w:tcW w:w="3984" w:type="dxa"/>
          </w:tcPr>
          <w:p w14:paraId="1BB4AE8D" w14:textId="77777777" w:rsidR="00D775FE" w:rsidRPr="00EF742E" w:rsidRDefault="004E5F7B" w:rsidP="00EF742E">
            <w:pPr>
              <w:pStyle w:val="NoSpacing"/>
              <w:rPr>
                <w:sz w:val="36"/>
                <w:szCs w:val="36"/>
              </w:rPr>
            </w:pPr>
            <w:r w:rsidRPr="00EF742E">
              <w:rPr>
                <w:color w:val="902E33"/>
                <w:sz w:val="36"/>
                <w:szCs w:val="36"/>
              </w:rPr>
              <w:t>Building a shared vision</w:t>
            </w:r>
          </w:p>
        </w:tc>
      </w:tr>
    </w:tbl>
    <w:p w14:paraId="7372E43D" w14:textId="77777777" w:rsidR="00D775FE" w:rsidRPr="00EF742E" w:rsidRDefault="00D775FE" w:rsidP="00EF742E">
      <w:pPr>
        <w:pStyle w:val="NoSpacing"/>
        <w:rPr>
          <w:sz w:val="36"/>
          <w:szCs w:val="36"/>
        </w:rPr>
      </w:pPr>
    </w:p>
    <w:p w14:paraId="19AAF66B" w14:textId="77777777" w:rsidR="00D775FE" w:rsidRDefault="00D775FE">
      <w:pPr>
        <w:pStyle w:val="BodyText"/>
        <w:spacing w:before="9"/>
        <w:ind w:firstLine="0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D775FE" w14:paraId="11BA020A" w14:textId="77777777">
        <w:trPr>
          <w:trHeight w:val="675"/>
        </w:trPr>
        <w:tc>
          <w:tcPr>
            <w:tcW w:w="2150" w:type="dxa"/>
            <w:shd w:val="clear" w:color="auto" w:fill="F5EEEA"/>
          </w:tcPr>
          <w:p w14:paraId="4EBC1CE5" w14:textId="77777777" w:rsidR="00D775FE" w:rsidRDefault="004E5F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21AD559C" w14:textId="77777777" w:rsidR="00D775FE" w:rsidRDefault="004E5F7B">
            <w:pPr>
              <w:pStyle w:val="TableParagraph"/>
              <w:spacing w:line="254" w:lineRule="auto"/>
            </w:pPr>
            <w:r>
              <w:rPr>
                <w:color w:val="231F20"/>
              </w:rPr>
              <w:t>A facilitator may use the steps below to guide stakeholders in the development/revision of a vision statement for professional learning.</w:t>
            </w:r>
          </w:p>
        </w:tc>
      </w:tr>
      <w:tr w:rsidR="00D775FE" w14:paraId="03EC9839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27ECEE3C" w14:textId="77777777" w:rsidR="00D775FE" w:rsidRDefault="004E5F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477C3AE7" w14:textId="77777777" w:rsidR="00D775FE" w:rsidRDefault="004E5F7B">
            <w:pPr>
              <w:pStyle w:val="TableParagraph"/>
            </w:pPr>
            <w:r>
              <w:rPr>
                <w:color w:val="231F20"/>
              </w:rPr>
              <w:t>Chart paper, markers, tape and sticky notes</w:t>
            </w:r>
          </w:p>
        </w:tc>
      </w:tr>
      <w:tr w:rsidR="00D775FE" w14:paraId="54D9F386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26987031" w14:textId="77777777" w:rsidR="00D775FE" w:rsidRDefault="004E5F7B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4114C518" w14:textId="77777777" w:rsidR="00D775FE" w:rsidRDefault="004E5F7B">
            <w:pPr>
              <w:pStyle w:val="TableParagraph"/>
            </w:pPr>
            <w:r>
              <w:rPr>
                <w:color w:val="231F20"/>
              </w:rPr>
              <w:t>45–90 minutes</w:t>
            </w:r>
          </w:p>
        </w:tc>
      </w:tr>
    </w:tbl>
    <w:p w14:paraId="4860324C" w14:textId="77777777" w:rsidR="00D775FE" w:rsidRDefault="00D775FE">
      <w:pPr>
        <w:pStyle w:val="BodyText"/>
        <w:spacing w:before="10"/>
        <w:ind w:firstLine="0"/>
        <w:rPr>
          <w:sz w:val="25"/>
        </w:rPr>
      </w:pPr>
    </w:p>
    <w:p w14:paraId="2D76668D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01"/>
      </w:pPr>
      <w:r>
        <w:rPr>
          <w:color w:val="231F20"/>
        </w:rPr>
        <w:t>Review goals and priorities for 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learning.</w:t>
      </w:r>
    </w:p>
    <w:p w14:paraId="3248FA01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 w:line="254" w:lineRule="auto"/>
        <w:ind w:left="580" w:right="1244"/>
      </w:pPr>
      <w:r>
        <w:rPr>
          <w:color w:val="231F20"/>
        </w:rPr>
        <w:t>Discuss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should/could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accelerating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identified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goals.</w:t>
      </w:r>
    </w:p>
    <w:p w14:paraId="34ABB67B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915"/>
      </w:pPr>
      <w:r>
        <w:rPr>
          <w:color w:val="231F20"/>
        </w:rPr>
        <w:t>Give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25–30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development (Resource </w:t>
      </w:r>
      <w:r>
        <w:rPr>
          <w:color w:val="231F20"/>
          <w:spacing w:val="-11"/>
        </w:rPr>
        <w:t xml:space="preserve">1.1), </w:t>
      </w:r>
      <w:r>
        <w:rPr>
          <w:color w:val="231F20"/>
        </w:rPr>
        <w:t xml:space="preserve">the description of the Standards for Professional Learning (Resource </w:t>
      </w:r>
      <w:r>
        <w:rPr>
          <w:color w:val="231F20"/>
          <w:spacing w:val="-5"/>
        </w:rPr>
        <w:t xml:space="preserve">1.2),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(Resource</w:t>
      </w:r>
      <w:r>
        <w:rPr>
          <w:color w:val="231F20"/>
          <w:spacing w:val="-5"/>
        </w:rPr>
        <w:t xml:space="preserve"> 1.4)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documents.</w:t>
      </w:r>
    </w:p>
    <w:p w14:paraId="3A84566A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278"/>
      </w:pPr>
      <w:r>
        <w:rPr>
          <w:color w:val="231F20"/>
        </w:rPr>
        <w:t>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attributes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see included in the vision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statement.</w:t>
      </w:r>
    </w:p>
    <w:p w14:paraId="01F3F029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41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attributes/ideas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clustering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together.</w:t>
      </w:r>
    </w:p>
    <w:p w14:paraId="06510B99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/>
      </w:pPr>
      <w:r>
        <w:rPr>
          <w:color w:val="231F20"/>
        </w:rPr>
        <w:t>Report similarities and record them 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paper.</w:t>
      </w:r>
    </w:p>
    <w:p w14:paraId="6E36909F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/>
      </w:pPr>
      <w:r>
        <w:rPr>
          <w:color w:val="231F20"/>
        </w:rPr>
        <w:t>Use relevant resources to review what was written once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more.</w:t>
      </w:r>
    </w:p>
    <w:p w14:paraId="3E5722C2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 w:line="254" w:lineRule="auto"/>
        <w:ind w:left="580" w:right="367"/>
      </w:pPr>
      <w:r>
        <w:rPr>
          <w:color w:val="231F20"/>
        </w:rPr>
        <w:t xml:space="preserve">Consider other points to be made as part of the vision </w:t>
      </w:r>
      <w:r>
        <w:rPr>
          <w:color w:val="231F20"/>
          <w:spacing w:val="-3"/>
        </w:rPr>
        <w:t xml:space="preserve">(e.g. </w:t>
      </w:r>
      <w:r>
        <w:rPr>
          <w:color w:val="231F20"/>
        </w:rPr>
        <w:t>Making a point regarding the importance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high-quality instructional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materials).</w:t>
      </w:r>
    </w:p>
    <w:p w14:paraId="2FDD3289" w14:textId="77777777" w:rsidR="00D775FE" w:rsidRDefault="004E5F7B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271"/>
      </w:pP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consensus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learning that emphasizes selecting and using high-quality instructional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materials.</w:t>
      </w:r>
    </w:p>
    <w:p w14:paraId="53E8853D" w14:textId="77777777" w:rsidR="00D775FE" w:rsidRPr="00EF742E" w:rsidRDefault="004E5F7B" w:rsidP="00EF742E">
      <w:pPr>
        <w:pStyle w:val="ListParagraph"/>
        <w:numPr>
          <w:ilvl w:val="0"/>
          <w:numId w:val="1"/>
        </w:numPr>
      </w:pPr>
      <w:r w:rsidRPr="00EF742E">
        <w:t>Invite</w:t>
      </w:r>
      <w:r w:rsidRPr="00EF742E">
        <w:rPr>
          <w:spacing w:val="-5"/>
        </w:rPr>
        <w:t xml:space="preserve"> </w:t>
      </w:r>
      <w:r w:rsidRPr="00EF742E">
        <w:t>a</w:t>
      </w:r>
      <w:r w:rsidRPr="00EF742E">
        <w:rPr>
          <w:spacing w:val="-4"/>
        </w:rPr>
        <w:t xml:space="preserve"> </w:t>
      </w:r>
      <w:r w:rsidRPr="00EF742E">
        <w:t>small</w:t>
      </w:r>
      <w:r w:rsidRPr="00EF742E">
        <w:rPr>
          <w:spacing w:val="-5"/>
        </w:rPr>
        <w:t xml:space="preserve"> </w:t>
      </w:r>
      <w:r w:rsidRPr="00EF742E">
        <w:t>subgroup</w:t>
      </w:r>
      <w:r w:rsidRPr="00EF742E">
        <w:rPr>
          <w:spacing w:val="-4"/>
        </w:rPr>
        <w:t xml:space="preserve"> </w:t>
      </w:r>
      <w:r w:rsidRPr="00EF742E">
        <w:t>to</w:t>
      </w:r>
      <w:r w:rsidRPr="00EF742E">
        <w:rPr>
          <w:spacing w:val="-5"/>
        </w:rPr>
        <w:t xml:space="preserve"> </w:t>
      </w:r>
      <w:r w:rsidRPr="00EF742E">
        <w:t>write</w:t>
      </w:r>
      <w:r w:rsidRPr="00EF742E">
        <w:rPr>
          <w:spacing w:val="-4"/>
        </w:rPr>
        <w:t xml:space="preserve"> </w:t>
      </w:r>
      <w:r w:rsidRPr="00EF742E">
        <w:t>a</w:t>
      </w:r>
      <w:r w:rsidRPr="00EF742E">
        <w:rPr>
          <w:spacing w:val="-5"/>
        </w:rPr>
        <w:t xml:space="preserve"> </w:t>
      </w:r>
      <w:r w:rsidRPr="00EF742E">
        <w:t>first</w:t>
      </w:r>
      <w:r w:rsidRPr="00EF742E">
        <w:rPr>
          <w:spacing w:val="-4"/>
        </w:rPr>
        <w:t xml:space="preserve"> </w:t>
      </w:r>
      <w:r w:rsidRPr="00EF742E">
        <w:t>draft</w:t>
      </w:r>
      <w:r w:rsidRPr="00EF742E">
        <w:rPr>
          <w:spacing w:val="-5"/>
        </w:rPr>
        <w:t xml:space="preserve"> </w:t>
      </w:r>
      <w:r w:rsidRPr="00EF742E">
        <w:t>using</w:t>
      </w:r>
      <w:r w:rsidRPr="00EF742E">
        <w:rPr>
          <w:spacing w:val="-4"/>
        </w:rPr>
        <w:t xml:space="preserve"> </w:t>
      </w:r>
      <w:r w:rsidRPr="00EF742E">
        <w:t>the</w:t>
      </w:r>
      <w:r w:rsidRPr="00EF742E">
        <w:rPr>
          <w:spacing w:val="-5"/>
        </w:rPr>
        <w:t xml:space="preserve"> </w:t>
      </w:r>
      <w:r w:rsidRPr="00EF742E">
        <w:rPr>
          <w:spacing w:val="-2"/>
        </w:rPr>
        <w:t>key</w:t>
      </w:r>
      <w:r w:rsidRPr="00EF742E">
        <w:rPr>
          <w:spacing w:val="-4"/>
        </w:rPr>
        <w:t xml:space="preserve"> </w:t>
      </w:r>
      <w:r w:rsidRPr="00EF742E">
        <w:t>points</w:t>
      </w:r>
      <w:r w:rsidRPr="00EF742E">
        <w:rPr>
          <w:spacing w:val="-5"/>
        </w:rPr>
        <w:t xml:space="preserve"> </w:t>
      </w:r>
      <w:r w:rsidRPr="00EF742E">
        <w:t>generated.</w:t>
      </w:r>
      <w:r w:rsidRPr="00EF742E">
        <w:rPr>
          <w:spacing w:val="-4"/>
        </w:rPr>
        <w:t xml:space="preserve"> </w:t>
      </w:r>
      <w:r w:rsidRPr="00EF742E">
        <w:t>Email</w:t>
      </w:r>
      <w:r w:rsidRPr="00EF742E">
        <w:rPr>
          <w:spacing w:val="-5"/>
        </w:rPr>
        <w:t xml:space="preserve"> </w:t>
      </w:r>
      <w:r w:rsidRPr="00EF742E">
        <w:t>the</w:t>
      </w:r>
      <w:r w:rsidRPr="00EF742E">
        <w:rPr>
          <w:spacing w:val="-4"/>
        </w:rPr>
        <w:t xml:space="preserve"> </w:t>
      </w:r>
      <w:r w:rsidRPr="00EF742E">
        <w:t>draft</w:t>
      </w:r>
      <w:r w:rsidRPr="00EF742E">
        <w:rPr>
          <w:spacing w:val="-5"/>
        </w:rPr>
        <w:t xml:space="preserve"> </w:t>
      </w:r>
      <w:r w:rsidRPr="00EF742E">
        <w:t>statement to the members of the group before the next meeting or bring the statement to the next meeting for review and</w:t>
      </w:r>
      <w:r w:rsidRPr="00EF742E">
        <w:rPr>
          <w:spacing w:val="-1"/>
        </w:rPr>
        <w:t xml:space="preserve"> </w:t>
      </w:r>
      <w:r w:rsidRPr="00EF742E">
        <w:t>revision.</w:t>
      </w:r>
    </w:p>
    <w:p w14:paraId="1A4C5C57" w14:textId="77777777" w:rsidR="00D775FE" w:rsidRPr="00EF742E" w:rsidRDefault="004E5F7B">
      <w:pPr>
        <w:pStyle w:val="ListParagraph"/>
        <w:numPr>
          <w:ilvl w:val="0"/>
          <w:numId w:val="1"/>
        </w:numPr>
        <w:tabs>
          <w:tab w:val="left" w:pos="580"/>
        </w:tabs>
        <w:spacing w:line="254" w:lineRule="auto"/>
        <w:ind w:left="580" w:right="227"/>
        <w:jc w:val="both"/>
      </w:pP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confusing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aren’t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discussions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</w:t>
      </w:r>
      <w:r w:rsidR="001F549E">
        <w:rPr>
          <w:color w:val="231F20"/>
        </w:rPr>
        <w:t>-</w:t>
      </w:r>
      <w:r>
        <w:rPr>
          <w:color w:val="231F20"/>
        </w:rPr>
        <w:t>quality instructional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materials.</w:t>
      </w:r>
    </w:p>
    <w:p w14:paraId="7E7F2DA6" w14:textId="77777777" w:rsidR="00D775FE" w:rsidRDefault="004E5F7B" w:rsidP="00EF742E">
      <w:pPr>
        <w:pStyle w:val="ListParagraph"/>
        <w:numPr>
          <w:ilvl w:val="0"/>
          <w:numId w:val="1"/>
        </w:numPr>
        <w:tabs>
          <w:tab w:val="left" w:pos="580"/>
        </w:tabs>
        <w:spacing w:line="254" w:lineRule="auto"/>
        <w:ind w:left="580" w:right="227"/>
        <w:jc w:val="both"/>
      </w:pPr>
      <w:r>
        <w:t xml:space="preserve">Encourage members to share the vision statement with stakeholders to seek feedback. It is </w:t>
      </w:r>
      <w:r w:rsidRPr="00EF742E">
        <w:rPr>
          <w:spacing w:val="-2"/>
        </w:rPr>
        <w:t>impor</w:t>
      </w:r>
      <w:r>
        <w:t xml:space="preserve">tant to acknowledge that stakeholders will not share the same depth of background knowledge nor are they likely to </w:t>
      </w:r>
      <w:r w:rsidRPr="00EF742E">
        <w:rPr>
          <w:spacing w:val="-3"/>
        </w:rPr>
        <w:t xml:space="preserve">have </w:t>
      </w:r>
      <w:r>
        <w:t>the knowledge that team members possess. The varied points of knowledge give team members an opportunity to cultivate an understanding about the different defin</w:t>
      </w:r>
      <w:r w:rsidR="00EF742E">
        <w:t>i</w:t>
      </w:r>
      <w:r>
        <w:t>tions</w:t>
      </w:r>
      <w:r w:rsidRPr="00EF742E">
        <w:rPr>
          <w:spacing w:val="-5"/>
        </w:rPr>
        <w:t xml:space="preserve"> </w:t>
      </w:r>
      <w:r>
        <w:t>that</w:t>
      </w:r>
      <w:r w:rsidRPr="00EF742E">
        <w:rPr>
          <w:spacing w:val="-4"/>
        </w:rPr>
        <w:t xml:space="preserve"> </w:t>
      </w:r>
      <w:r>
        <w:t>they</w:t>
      </w:r>
      <w:r w:rsidRPr="00EF742E">
        <w:rPr>
          <w:spacing w:val="-4"/>
        </w:rPr>
        <w:t xml:space="preserve"> </w:t>
      </w:r>
      <w:r w:rsidRPr="00EF742E">
        <w:rPr>
          <w:spacing w:val="-3"/>
        </w:rPr>
        <w:t>have</w:t>
      </w:r>
      <w:r w:rsidRPr="00EF742E">
        <w:rPr>
          <w:spacing w:val="-4"/>
        </w:rPr>
        <w:t xml:space="preserve"> </w:t>
      </w:r>
      <w:r>
        <w:t>collected</w:t>
      </w:r>
      <w:r w:rsidRPr="00EF742E">
        <w:rPr>
          <w:spacing w:val="-4"/>
        </w:rPr>
        <w:t xml:space="preserve"> </w:t>
      </w:r>
      <w:r>
        <w:t>and</w:t>
      </w:r>
      <w:r w:rsidRPr="00EF742E">
        <w:rPr>
          <w:spacing w:val="-4"/>
        </w:rPr>
        <w:t xml:space="preserve"> </w:t>
      </w:r>
      <w:r>
        <w:t>examined.</w:t>
      </w:r>
      <w:r w:rsidRPr="00EF742E">
        <w:rPr>
          <w:spacing w:val="-4"/>
        </w:rPr>
        <w:t xml:space="preserve"> </w:t>
      </w:r>
      <w:r>
        <w:t>The</w:t>
      </w:r>
      <w:r w:rsidRPr="00EF742E">
        <w:rPr>
          <w:spacing w:val="-4"/>
        </w:rPr>
        <w:t xml:space="preserve"> </w:t>
      </w:r>
      <w:r>
        <w:t>task</w:t>
      </w:r>
      <w:r w:rsidRPr="00EF742E">
        <w:rPr>
          <w:spacing w:val="-4"/>
        </w:rPr>
        <w:t xml:space="preserve"> </w:t>
      </w:r>
      <w:r>
        <w:t>is</w:t>
      </w:r>
      <w:r w:rsidRPr="00EF742E">
        <w:rPr>
          <w:spacing w:val="-4"/>
        </w:rPr>
        <w:t xml:space="preserve"> </w:t>
      </w:r>
      <w:r>
        <w:t>not</w:t>
      </w:r>
      <w:r w:rsidRPr="00EF742E">
        <w:rPr>
          <w:spacing w:val="-4"/>
        </w:rPr>
        <w:t xml:space="preserve"> </w:t>
      </w:r>
      <w:r>
        <w:t>to</w:t>
      </w:r>
      <w:r w:rsidRPr="00EF742E">
        <w:rPr>
          <w:spacing w:val="-4"/>
        </w:rPr>
        <w:t xml:space="preserve"> </w:t>
      </w:r>
      <w:r>
        <w:t>seek</w:t>
      </w:r>
      <w:r w:rsidRPr="00EF742E">
        <w:rPr>
          <w:spacing w:val="-5"/>
        </w:rPr>
        <w:t xml:space="preserve"> </w:t>
      </w:r>
      <w:r>
        <w:t>stakeholder</w:t>
      </w:r>
      <w:r w:rsidRPr="00EF742E">
        <w:rPr>
          <w:spacing w:val="-4"/>
        </w:rPr>
        <w:t xml:space="preserve"> </w:t>
      </w:r>
      <w:r>
        <w:t>support</w:t>
      </w:r>
      <w:r w:rsidRPr="00EF742E">
        <w:rPr>
          <w:spacing w:val="-4"/>
        </w:rPr>
        <w:t xml:space="preserve"> </w:t>
      </w:r>
      <w:r>
        <w:t>but</w:t>
      </w:r>
      <w:r w:rsidRPr="00EF742E">
        <w:rPr>
          <w:spacing w:val="-4"/>
        </w:rPr>
        <w:t xml:space="preserve"> </w:t>
      </w:r>
      <w:r>
        <w:t>rather to assess whether the statement makes sense and to collect the questions it</w:t>
      </w:r>
      <w:r w:rsidRPr="00EF742E">
        <w:rPr>
          <w:spacing w:val="-31"/>
        </w:rPr>
        <w:t xml:space="preserve"> </w:t>
      </w:r>
      <w:r w:rsidR="00EF742E">
        <w:rPr>
          <w:spacing w:val="-31"/>
        </w:rPr>
        <w:t xml:space="preserve"> </w:t>
      </w:r>
      <w:r>
        <w:t>generates.</w:t>
      </w:r>
    </w:p>
    <w:p w14:paraId="70073469" w14:textId="77777777" w:rsidR="00D775FE" w:rsidRDefault="00637223">
      <w:pPr>
        <w:pStyle w:val="BodyText"/>
        <w:spacing w:before="3"/>
        <w:ind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F55504" wp14:editId="2ECB350C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5946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*/ 0 w 9364"/>
                            <a:gd name="T1" fmla="*/ 0 h 1270"/>
                            <a:gd name="T2" fmla="*/ 2147483646 w 93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4" h="1270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6029" id="Freeform 2" o:spid="_x0000_s1026" style="position:absolute;margin-left:1in;margin-top:15pt;width:46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" path="m,l9363,e" filled="f" strokecolor="#00856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728AC4" w14:textId="77777777" w:rsidR="00D775FE" w:rsidRDefault="00D775FE">
      <w:pPr>
        <w:pStyle w:val="BodyText"/>
        <w:ind w:firstLine="0"/>
        <w:rPr>
          <w:sz w:val="20"/>
        </w:rPr>
      </w:pPr>
    </w:p>
    <w:p w14:paraId="48426D53" w14:textId="77777777" w:rsidR="00D775FE" w:rsidRDefault="00D775FE">
      <w:pPr>
        <w:rPr>
          <w:sz w:val="20"/>
        </w:rPr>
        <w:sectPr w:rsidR="00D775FE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3768E71D" w14:textId="77777777" w:rsidR="00D775FE" w:rsidRDefault="00D775FE">
      <w:pPr>
        <w:pStyle w:val="BodyText"/>
        <w:spacing w:before="6"/>
        <w:ind w:firstLine="0"/>
        <w:rPr>
          <w:sz w:val="21"/>
        </w:rPr>
      </w:pPr>
    </w:p>
    <w:p w14:paraId="4E7714D5" w14:textId="1C00ACB0" w:rsidR="00D775FE" w:rsidRDefault="004E5F7B">
      <w:pPr>
        <w:spacing w:line="223" w:lineRule="auto"/>
        <w:ind w:left="220" w:right="-5"/>
        <w:rPr>
          <w:sz w:val="18"/>
        </w:rPr>
      </w:pPr>
      <w:r>
        <w:rPr>
          <w:color w:val="231F20"/>
          <w:sz w:val="18"/>
        </w:rPr>
        <w:t xml:space="preserve">Professional Learning State and District </w:t>
      </w:r>
      <w:r w:rsidR="006E0C0A">
        <w:rPr>
          <w:color w:val="231F20"/>
          <w:sz w:val="18"/>
        </w:rPr>
        <w:t>Planner</w:t>
      </w:r>
      <w:r>
        <w:rPr>
          <w:color w:val="231F20"/>
          <w:sz w:val="18"/>
        </w:rPr>
        <w:t xml:space="preserve">: </w:t>
      </w:r>
      <w:r>
        <w:rPr>
          <w:color w:val="58595B"/>
          <w:sz w:val="18"/>
        </w:rPr>
        <w:t>The Title IIA Equity Multiplier</w:t>
      </w:r>
    </w:p>
    <w:p w14:paraId="49670C4A" w14:textId="77777777" w:rsidR="00D775FE" w:rsidRDefault="004E5F7B">
      <w:pPr>
        <w:pStyle w:val="BodyText"/>
        <w:ind w:firstLine="0"/>
        <w:rPr>
          <w:sz w:val="16"/>
        </w:rPr>
      </w:pPr>
      <w:r>
        <w:br w:type="column"/>
      </w:r>
    </w:p>
    <w:p w14:paraId="114F55B7" w14:textId="77777777" w:rsidR="00D775FE" w:rsidRDefault="00D775FE">
      <w:pPr>
        <w:pStyle w:val="BodyText"/>
        <w:ind w:firstLine="0"/>
        <w:rPr>
          <w:sz w:val="16"/>
        </w:rPr>
      </w:pPr>
    </w:p>
    <w:p w14:paraId="2B98175D" w14:textId="77777777" w:rsidR="00D775FE" w:rsidRDefault="004E5F7B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4BEE8D9" wp14:editId="6AF79E5A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04C50203" w14:textId="77777777" w:rsidR="00D775FE" w:rsidRDefault="004E5F7B">
      <w:pPr>
        <w:pStyle w:val="BodyText"/>
        <w:ind w:firstLine="0"/>
      </w:pPr>
      <w:r>
        <w:br w:type="column"/>
      </w:r>
    </w:p>
    <w:p w14:paraId="14EADB8C" w14:textId="77777777" w:rsidR="00D775FE" w:rsidRDefault="004E5F7B">
      <w:pPr>
        <w:spacing w:before="174"/>
        <w:ind w:left="220"/>
        <w:rPr>
          <w:sz w:val="18"/>
        </w:rPr>
      </w:pPr>
      <w:r>
        <w:rPr>
          <w:color w:val="231F20"/>
          <w:sz w:val="18"/>
        </w:rPr>
        <w:t>essa.learningforward.org</w:t>
      </w:r>
    </w:p>
    <w:sectPr w:rsidR="00D775FE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53D58"/>
    <w:multiLevelType w:val="hybridMultilevel"/>
    <w:tmpl w:val="2BBAD364"/>
    <w:lvl w:ilvl="0" w:tplc="27F07D5A">
      <w:start w:val="1"/>
      <w:numFmt w:val="decimal"/>
      <w:lvlText w:val="%1."/>
      <w:lvlJc w:val="left"/>
      <w:pPr>
        <w:ind w:left="579" w:hanging="36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7244FAAE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66765990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85849F42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2230D3F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4DAC149E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4146A730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5DB67984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426A26F0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FE"/>
    <w:rsid w:val="001F549E"/>
    <w:rsid w:val="004E5F7B"/>
    <w:rsid w:val="005D4A72"/>
    <w:rsid w:val="00637223"/>
    <w:rsid w:val="006E0C0A"/>
    <w:rsid w:val="00A03D00"/>
    <w:rsid w:val="00D775FE"/>
    <w:rsid w:val="00E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7C23"/>
  <w15:docId w15:val="{020438C8-2B10-9A4B-9E11-996E36C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spacing w:before="140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  <w:style w:type="paragraph" w:styleId="NoSpacing">
    <w:name w:val="No Spacing"/>
    <w:uiPriority w:val="1"/>
    <w:qFormat/>
    <w:rsid w:val="00EF742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2020-10-02T22:31:00Z</dcterms:created>
  <dcterms:modified xsi:type="dcterms:W3CDTF">2020-10-06T09:11:00Z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