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3162" w:right="3103" w:firstLine="0"/>
        <w:jc w:val="center"/>
        <w:rPr>
          <w:sz w:val="18"/>
        </w:rPr>
      </w:pPr>
      <w:r>
        <w:rPr>
          <w:color w:val="231F20"/>
          <w:sz w:val="18"/>
        </w:rPr>
        <w:t>LEA Stage 1, Tool 1.1: Building a shared vision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3988"/>
      </w:tblGrid>
      <w:tr>
        <w:trPr>
          <w:trHeight w:val="446" w:hRule="atLeast"/>
        </w:trPr>
        <w:tc>
          <w:tcPr>
            <w:tcW w:w="2235" w:type="dxa"/>
          </w:tcPr>
          <w:p>
            <w:pPr>
              <w:pStyle w:val="TableParagraph"/>
              <w:spacing w:line="412" w:lineRule="exact" w:before="14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fill="902E33" w:color="auto" w:val="clear"/>
              </w:rPr>
              <w:t> </w:t>
            </w:r>
            <w:r>
              <w:rPr>
                <w:b/>
                <w:color w:val="FFFFFF"/>
                <w:sz w:val="36"/>
                <w:shd w:fill="902E33" w:color="auto" w:val="clear"/>
              </w:rPr>
              <w:t>LEA </w:t>
            </w:r>
            <w:r>
              <w:rPr>
                <w:b/>
                <w:color w:val="FFFFFF"/>
                <w:spacing w:val="-8"/>
                <w:sz w:val="36"/>
                <w:shd w:fill="902E33" w:color="auto" w:val="clear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fill="902E33" w:color="auto" w:val="clear"/>
              </w:rPr>
              <w:t> </w:t>
            </w:r>
            <w:r>
              <w:rPr>
                <w:b/>
                <w:color w:val="FFFFFF"/>
                <w:sz w:val="36"/>
                <w:shd w:fill="902E33" w:color="auto" w:val="clear"/>
              </w:rPr>
              <w:t>1.1</w:t>
            </w:r>
            <w:r>
              <w:rPr>
                <w:b/>
                <w:color w:val="FFFFFF"/>
                <w:spacing w:val="4"/>
                <w:sz w:val="36"/>
                <w:shd w:fill="902E33" w:color="auto" w:val="clear"/>
              </w:rPr>
              <w:t> </w:t>
            </w:r>
          </w:p>
        </w:tc>
        <w:tc>
          <w:tcPr>
            <w:tcW w:w="3988" w:type="dxa"/>
          </w:tcPr>
          <w:p>
            <w:pPr>
              <w:pStyle w:val="TableParagraph"/>
              <w:spacing w:line="412" w:lineRule="exact" w:before="14"/>
              <w:ind w:left="115"/>
              <w:rPr>
                <w:b/>
                <w:sz w:val="36"/>
              </w:rPr>
            </w:pPr>
            <w:r>
              <w:rPr>
                <w:b/>
                <w:color w:val="902E33"/>
                <w:sz w:val="36"/>
              </w:rPr>
              <w:t>Building a shared vision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7190"/>
      </w:tblGrid>
      <w:tr>
        <w:trPr>
          <w:trHeight w:val="675" w:hRule="atLeast"/>
        </w:trPr>
        <w:tc>
          <w:tcPr>
            <w:tcW w:w="2150" w:type="dxa"/>
            <w:shd w:val="clear" w:color="auto" w:fill="F5EEE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Directions</w:t>
            </w:r>
          </w:p>
        </w:tc>
        <w:tc>
          <w:tcPr>
            <w:tcW w:w="7190" w:type="dxa"/>
          </w:tcPr>
          <w:p>
            <w:pPr>
              <w:pStyle w:val="TableParagraph"/>
              <w:spacing w:line="254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A facilitator may use the steps below to guide stakeholders in the develop- ment/revision of a vision statement for professional learning.</w:t>
            </w:r>
          </w:p>
        </w:tc>
      </w:tr>
      <w:tr>
        <w:trPr>
          <w:trHeight w:val="395" w:hRule="atLeast"/>
        </w:trPr>
        <w:tc>
          <w:tcPr>
            <w:tcW w:w="2150" w:type="dxa"/>
            <w:shd w:val="clear" w:color="auto" w:fill="F5EEE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Materials required</w:t>
            </w:r>
          </w:p>
        </w:tc>
        <w:tc>
          <w:tcPr>
            <w:tcW w:w="71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Chart paper, markers, tape and sticky notes</w:t>
            </w:r>
          </w:p>
        </w:tc>
      </w:tr>
      <w:tr>
        <w:trPr>
          <w:trHeight w:val="395" w:hRule="atLeast"/>
        </w:trPr>
        <w:tc>
          <w:tcPr>
            <w:tcW w:w="2150" w:type="dxa"/>
            <w:shd w:val="clear" w:color="auto" w:fill="F5EEE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Time</w:t>
            </w:r>
          </w:p>
        </w:tc>
        <w:tc>
          <w:tcPr>
            <w:tcW w:w="71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45–90 minutes</w:t>
            </w:r>
          </w:p>
        </w:tc>
      </w:tr>
    </w:tbl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auto" w:before="101" w:after="0"/>
        <w:ind w:left="579" w:right="0" w:hanging="360"/>
        <w:jc w:val="left"/>
        <w:rPr>
          <w:sz w:val="22"/>
        </w:rPr>
      </w:pPr>
      <w:r>
        <w:rPr>
          <w:color w:val="231F20"/>
          <w:sz w:val="22"/>
        </w:rPr>
        <w:t>Review state and district goals and priorities for professional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learning.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54" w:lineRule="auto" w:before="156" w:after="0"/>
        <w:ind w:left="580" w:right="1244" w:hanging="360"/>
        <w:jc w:val="left"/>
        <w:rPr>
          <w:sz w:val="22"/>
        </w:rPr>
      </w:pPr>
      <w:r>
        <w:rPr>
          <w:color w:val="231F20"/>
          <w:sz w:val="22"/>
        </w:rPr>
        <w:t>Discuss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role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professional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learning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should/could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play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accelerating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achievement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 identified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goals.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54" w:lineRule="auto" w:before="140" w:after="0"/>
        <w:ind w:left="580" w:right="824" w:hanging="360"/>
        <w:jc w:val="left"/>
        <w:rPr>
          <w:sz w:val="22"/>
        </w:rPr>
      </w:pPr>
      <w:r>
        <w:rPr>
          <w:color w:val="231F20"/>
          <w:sz w:val="22"/>
        </w:rPr>
        <w:t>Give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everyone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25–30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minutes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review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Resource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1"/>
          <w:sz w:val="22"/>
        </w:rPr>
        <w:t>1.1,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Resource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1.2,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Resource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1.4,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well as district planning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documents.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54" w:lineRule="auto" w:before="140" w:after="0"/>
        <w:ind w:left="580" w:right="516" w:hanging="360"/>
        <w:jc w:val="left"/>
        <w:rPr>
          <w:sz w:val="22"/>
        </w:rPr>
      </w:pPr>
      <w:r>
        <w:rPr>
          <w:color w:val="231F20"/>
          <w:sz w:val="22"/>
        </w:rPr>
        <w:t>Ask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each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member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record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sticky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notes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attributes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ideas,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one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sticky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note,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want to see included in the vision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statement.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auto" w:before="141" w:after="0"/>
        <w:ind w:left="579" w:right="0" w:hanging="360"/>
        <w:jc w:val="left"/>
        <w:rPr>
          <w:sz w:val="22"/>
        </w:rPr>
      </w:pPr>
      <w:r>
        <w:rPr>
          <w:color w:val="231F20"/>
          <w:sz w:val="22"/>
        </w:rPr>
        <w:t>In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groups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four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five,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share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attributes/ideas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sticky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notes,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clustering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similar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ideas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3"/>
          <w:sz w:val="22"/>
        </w:rPr>
        <w:t>together.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auto" w:before="156" w:after="0"/>
        <w:ind w:left="579" w:right="0" w:hanging="360"/>
        <w:jc w:val="left"/>
        <w:rPr>
          <w:sz w:val="22"/>
        </w:rPr>
      </w:pPr>
      <w:r>
        <w:rPr>
          <w:color w:val="231F20"/>
          <w:sz w:val="22"/>
        </w:rPr>
        <w:t>Report similarities and record them on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3"/>
          <w:sz w:val="22"/>
        </w:rPr>
        <w:t>paper.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auto" w:before="156" w:after="0"/>
        <w:ind w:left="579" w:right="0" w:hanging="360"/>
        <w:jc w:val="left"/>
        <w:rPr>
          <w:sz w:val="22"/>
        </w:rPr>
      </w:pPr>
      <w:r>
        <w:rPr>
          <w:color w:val="231F20"/>
          <w:sz w:val="22"/>
        </w:rPr>
        <w:t>Use relevant resources to review what was written once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more.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54" w:lineRule="auto" w:before="156" w:after="0"/>
        <w:ind w:left="580" w:right="859" w:hanging="360"/>
        <w:jc w:val="left"/>
        <w:rPr>
          <w:sz w:val="22"/>
        </w:rPr>
      </w:pPr>
      <w:r>
        <w:rPr>
          <w:color w:val="231F20"/>
          <w:sz w:val="22"/>
        </w:rPr>
        <w:t>Consider other points to be made as part of the vision </w:t>
      </w:r>
      <w:r>
        <w:rPr>
          <w:color w:val="231F20"/>
          <w:spacing w:val="-3"/>
          <w:sz w:val="22"/>
        </w:rPr>
        <w:t>(e.g. </w:t>
      </w:r>
      <w:r>
        <w:rPr>
          <w:color w:val="231F20"/>
          <w:sz w:val="22"/>
        </w:rPr>
        <w:t>Making a point regarding the importance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professional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learning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its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role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relation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district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goals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priorities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for high-quality instructional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3"/>
          <w:sz w:val="22"/>
        </w:rPr>
        <w:t>materials).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54" w:lineRule="auto" w:before="140" w:after="0"/>
        <w:ind w:left="580" w:right="1070" w:hanging="360"/>
        <w:jc w:val="left"/>
        <w:rPr>
          <w:sz w:val="22"/>
        </w:rPr>
      </w:pPr>
      <w:r>
        <w:rPr>
          <w:color w:val="231F20"/>
          <w:sz w:val="22"/>
        </w:rPr>
        <w:t>Come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3"/>
          <w:sz w:val="22"/>
        </w:rPr>
        <w:t>consensus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key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points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language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include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vision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professional learning for selecting and using high-quality instructional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materials.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54" w:lineRule="auto" w:before="140" w:after="0"/>
        <w:ind w:left="580" w:right="565" w:hanging="360"/>
        <w:jc w:val="left"/>
        <w:rPr>
          <w:sz w:val="22"/>
        </w:rPr>
      </w:pPr>
      <w:r>
        <w:rPr>
          <w:color w:val="231F20"/>
          <w:sz w:val="22"/>
        </w:rPr>
        <w:t>Invite a small subgroup to write a first draft using the </w:t>
      </w:r>
      <w:r>
        <w:rPr>
          <w:color w:val="231F20"/>
          <w:spacing w:val="-2"/>
          <w:sz w:val="22"/>
        </w:rPr>
        <w:t>key </w:t>
      </w:r>
      <w:r>
        <w:rPr>
          <w:color w:val="231F20"/>
          <w:sz w:val="22"/>
        </w:rPr>
        <w:t>points generated. Email the draft statement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members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group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prior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next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meeting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bring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statement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back to the next meeting for review and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revision.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54" w:lineRule="auto" w:before="141" w:after="0"/>
        <w:ind w:left="580" w:right="770" w:hanging="360"/>
        <w:jc w:val="both"/>
        <w:rPr>
          <w:sz w:val="22"/>
        </w:rPr>
      </w:pPr>
      <w:r>
        <w:rPr>
          <w:color w:val="231F20"/>
          <w:sz w:val="22"/>
        </w:rPr>
        <w:t>During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review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revision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draft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vision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statement,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consider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what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words </w:t>
      </w:r>
      <w:r>
        <w:rPr>
          <w:color w:val="231F20"/>
          <w:spacing w:val="-3"/>
          <w:sz w:val="22"/>
        </w:rPr>
        <w:t>may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confusing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others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who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aren’t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involved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professional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learning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high-quality instructional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materials.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54" w:lineRule="auto" w:before="140" w:after="0"/>
        <w:ind w:left="580" w:right="350" w:hanging="360"/>
        <w:jc w:val="left"/>
        <w:rPr>
          <w:sz w:val="22"/>
        </w:rPr>
      </w:pPr>
      <w:r>
        <w:rPr>
          <w:color w:val="231F20"/>
          <w:sz w:val="22"/>
        </w:rPr>
        <w:t>Encourage members to share the vision statement with stakeholders to seek feedback. It is important to acknowledge that stakeholders will not </w:t>
      </w:r>
      <w:r>
        <w:rPr>
          <w:color w:val="231F20"/>
          <w:spacing w:val="-3"/>
          <w:sz w:val="22"/>
        </w:rPr>
        <w:t>have </w:t>
      </w:r>
      <w:r>
        <w:rPr>
          <w:color w:val="231F20"/>
          <w:sz w:val="22"/>
        </w:rPr>
        <w:t>the same depth of background knowledge and this provides an opportunity to cultivate an understanding about the different definitions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that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team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members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3"/>
          <w:sz w:val="22"/>
        </w:rPr>
        <w:t>have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experienced.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task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seek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their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support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but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rather to assess if the statement makes sense and to collect the questions it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generates.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72pt;margin-top:19.025999pt;width:468.2pt;height:.1pt;mso-position-horizontal-relative:page;mso-position-vertical-relative:paragraph;z-index:-15728640;mso-wrap-distance-left:0;mso-wrap-distance-right:0" coordorigin="1440,381" coordsize="9364,0" path="m1440,381l10803,381e" filled="false" stroked="true" strokeweight=".5pt" strokecolor="#00856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600" w:bottom="280" w:left="1220" w:right="1320"/>
        </w:sectPr>
      </w:pPr>
    </w:p>
    <w:p>
      <w:pPr>
        <w:pStyle w:val="BodyText"/>
        <w:spacing w:before="6"/>
        <w:rPr>
          <w:sz w:val="21"/>
        </w:rPr>
      </w:pPr>
    </w:p>
    <w:p>
      <w:pPr>
        <w:spacing w:line="223" w:lineRule="auto" w:before="0"/>
        <w:ind w:left="220" w:right="-5" w:firstLine="0"/>
        <w:jc w:val="left"/>
        <w:rPr>
          <w:sz w:val="18"/>
        </w:rPr>
      </w:pPr>
      <w:r>
        <w:rPr>
          <w:color w:val="231F20"/>
          <w:sz w:val="18"/>
        </w:rPr>
        <w:t>Professional Learning State and District Toolkit: </w:t>
      </w:r>
      <w:r>
        <w:rPr>
          <w:color w:val="58595B"/>
          <w:sz w:val="18"/>
        </w:rPr>
        <w:t>The Title IIA Equity Multiplier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spacing w:before="96"/>
        <w:ind w:left="220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> </w:t>
      </w:r>
      <w:r>
        <w:rPr>
          <w:color w:val="231F20"/>
          <w:spacing w:val="-3"/>
          <w:w w:val="105"/>
          <w:sz w:val="13"/>
        </w:rPr>
        <w:t>ASSOCIATION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74"/>
        <w:ind w:left="220" w:right="0" w:firstLine="0"/>
        <w:jc w:val="left"/>
        <w:rPr>
          <w:sz w:val="18"/>
        </w:rPr>
      </w:pPr>
      <w:r>
        <w:rPr>
          <w:color w:val="231F20"/>
          <w:sz w:val="18"/>
        </w:rPr>
        <w:t>essa.learningforward.org</w:t>
      </w:r>
    </w:p>
    <w:sectPr>
      <w:type w:val="continuous"/>
      <w:pgSz w:w="12240" w:h="15840"/>
      <w:pgMar w:top="600" w:bottom="280" w:left="1220" w:right="1320"/>
      <w:cols w:num="3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9" w:hanging="360"/>
        <w:jc w:val="left"/>
      </w:pPr>
      <w:rPr>
        <w:rFonts w:hint="default" w:ascii="Myriad Pro" w:hAnsi="Myriad Pro" w:eastAsia="Myriad Pro" w:cs="Myriad Pro"/>
        <w:color w:val="231F20"/>
        <w:spacing w:val="-1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40"/>
      <w:ind w:left="580" w:hanging="360"/>
    </w:pPr>
    <w:rPr>
      <w:rFonts w:ascii="Myriad Pro" w:hAnsi="Myriad Pro" w:eastAsia="Myriad Pro" w:cs="Myriad Pro"/>
    </w:rPr>
  </w:style>
  <w:style w:styleId="TableParagraph" w:type="paragraph">
    <w:name w:val="Table Paragraph"/>
    <w:basedOn w:val="Normal"/>
    <w:uiPriority w:val="1"/>
    <w:qFormat/>
    <w:pPr>
      <w:spacing w:before="71"/>
      <w:ind w:left="80"/>
    </w:pPr>
    <w:rPr>
      <w:rFonts w:ascii="Myriad Pro" w:hAnsi="Myriad Pro" w:eastAsia="Myriad Pro" w:cs="Myriad Pro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2020-09-28T17:01:16Z</dcterms:created>
  <dcterms:modified xsi:type="dcterms:W3CDTF">2020-09-28T17:01:16Z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